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c3a1f2f4ff429b" /></Relationships>
</file>

<file path=word/document.xml><?xml version="1.0" encoding="utf-8"?>
<w:document xmlns:r="http://schemas.openxmlformats.org/officeDocument/2006/relationships" xmlns:w="http://schemas.openxmlformats.org/wordprocessingml/2006/main">
  <w:body>
    <w:p>
      <w:pPr>
        <w:pStyle w:val="Title"/>
      </w:pPr>
      <w:r>
        <w:t>Opioid analgesic stewardship: 9a - Evidence of a locally approved policy to support the transfer of care of patients who separate from hospital with a supply or prescription of opioid analgesics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9a - Evidence of a locally approved policy to support the transfer of care of patients who separate from hospital with a supply or prescription of opioid analgesics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9a - Evidence of a locally approved policy to support the transfer of care of patients who separate from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c0e0998f44608">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to support the transfer of care of patients who leave the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Planning for appropriate analgesic use at the transfer of care begins when a patient is started on an opioid analgesic, according to an agreed opioid analgesic weaning and cessation protocol.</w:t>
            </w:r>
          </w:p>
          <w:p>
            <w:pPr/>
            <w:r>
              <w:rPr>
                <w:rStyle w:val="row-content-rich-text"/>
              </w:rPr>
              <w:t xml:space="preserve">The aim of this indicator is to support appropriate opioid analgesic prescribing on discharge and communication with the patient’s ongoing clinicians and carers when an opioid is considered necessary for a patient with acute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e87b5c53144b15">
              <w:r>
                <w:rPr>
                  <w:rStyle w:val="Hyperlink"/>
                </w:rPr>
                <w:t xml:space="preserve">Clinical care standard indicators: Opioid Analgesic Stewardship in Acute Pain - Acute care edition</w:t>
              </w:r>
            </w:hyperlink>
          </w:p>
          <w:p>
            <w:pPr>
              <w:pStyle w:val="registration-status"/>
              <w:spacing w:before="0" w:after="0"/>
            </w:pPr>
            <w:hyperlink w:history="true" r:id="R7789d64c5ee24cd0">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locally approved policy should specify the:</w:t>
            </w:r>
          </w:p>
          <w:p>
            <w:pPr>
              <w:pStyle w:val="ListParagraph"/>
              <w:numPr>
                <w:ilvl w:val="0"/>
                <w:numId w:val="2"/>
              </w:numPr>
            </w:pPr>
            <w:r>
              <w:rPr>
                <w:rStyle w:val="row-content-rich-text"/>
              </w:rPr>
              <w:t xml:space="preserve">Organisation’s opioid analgesic weaning and cessation protocol </w:t>
            </w:r>
          </w:p>
          <w:p>
            <w:pPr>
              <w:pStyle w:val="ListParagraph"/>
              <w:numPr>
                <w:ilvl w:val="0"/>
                <w:numId w:val="2"/>
              </w:numPr>
            </w:pPr>
            <w:r>
              <w:rPr>
                <w:rStyle w:val="row-content-rich-text"/>
              </w:rPr>
              <w:t xml:space="preserve">Process for referral to specialist services, if required</w:t>
            </w:r>
          </w:p>
          <w:p>
            <w:pPr>
              <w:pStyle w:val="ListParagraph"/>
              <w:numPr>
                <w:ilvl w:val="0"/>
                <w:numId w:val="2"/>
              </w:numPr>
            </w:pPr>
            <w:r>
              <w:rPr>
                <w:rStyle w:val="row-content-rich-text"/>
              </w:rPr>
              <w:t xml:space="preserve">Required documentation to be provided to the patient and/or carer </w:t>
            </w:r>
          </w:p>
          <w:p>
            <w:pPr>
              <w:pStyle w:val="ListParagraph"/>
              <w:numPr>
                <w:ilvl w:val="0"/>
                <w:numId w:val="2"/>
              </w:numPr>
            </w:pPr>
            <w:r>
              <w:rPr>
                <w:rStyle w:val="row-content-rich-text"/>
              </w:rPr>
              <w:t xml:space="preserve">Required clinical handover documentation to be provided to the general practitioner </w:t>
            </w:r>
          </w:p>
          <w:p>
            <w:pPr>
              <w:pStyle w:val="ListParagraph"/>
              <w:numPr>
                <w:ilvl w:val="0"/>
                <w:numId w:val="2"/>
              </w:numPr>
            </w:pPr>
            <w:r>
              <w:rPr>
                <w:rStyle w:val="row-content-rich-text"/>
              </w:rPr>
              <w:t xml:space="preserve">Process to ensure the workforce is competent in the use of the policy, and</w:t>
            </w:r>
          </w:p>
          <w:p>
            <w:pPr>
              <w:pStyle w:val="ListParagraph"/>
              <w:numPr>
                <w:ilvl w:val="0"/>
                <w:numId w:val="2"/>
              </w:numPr>
            </w:pPr>
            <w:r>
              <w:rPr>
                <w:rStyle w:val="row-content-rich-text"/>
              </w:rPr>
              <w:t xml:space="preserve">Process to assess adherence to the policy.</w:t>
            </w:r>
          </w:p>
          <w:p>
            <w:pPr/>
            <w:r>
              <w:rPr>
                <w:rStyle w:val="row-content-rich-text"/>
              </w:rPr>
              <w:t xml:space="preserve">The policy should support the care of both patients admitted to hospital and patients treated in the emergency department.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034ddbfa34ff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b550d5fb1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ddbfa34ff4ad3" /><Relationship Type="http://schemas.openxmlformats.org/officeDocument/2006/relationships/header" Target="/word/header1.xml" Id="Re37844f280fd4932" /><Relationship Type="http://schemas.openxmlformats.org/officeDocument/2006/relationships/settings" Target="/word/settings.xml" Id="Red8dc6c11e2b4ca9" /><Relationship Type="http://schemas.openxmlformats.org/officeDocument/2006/relationships/styles" Target="/word/styles.xml" Id="Rabb65ec4045644de" /><Relationship Type="http://schemas.openxmlformats.org/officeDocument/2006/relationships/numbering" Target="/word/numbering.xml" Id="R9425a462d91444e1" /><Relationship Type="http://schemas.openxmlformats.org/officeDocument/2006/relationships/hyperlink" Target="https://meteor-uat.aihw.gov.au/RegistrationAuthority/2" TargetMode="External" Id="R8cec0e0998f44608" /><Relationship Type="http://schemas.openxmlformats.org/officeDocument/2006/relationships/hyperlink" Target="https://meteor-uat.aihw.gov.au/content/755544" TargetMode="External" Id="R6fe87b5c53144b15" /><Relationship Type="http://schemas.openxmlformats.org/officeDocument/2006/relationships/hyperlink" Target="https://meteor-uat.aihw.gov.au/RegistrationAuthority/2" TargetMode="External" Id="R7789d64c5ee24cd0" /></Relationships>
</file>

<file path=word/_rels/header1.xml.rels>&#65279;<?xml version="1.0" encoding="utf-8"?><Relationships xmlns="http://schemas.openxmlformats.org/package/2006/relationships"><Relationship Type="http://schemas.openxmlformats.org/officeDocument/2006/relationships/image" Target="/media/image.png" Id="Re7bb550d5fb146cc" /></Relationships>
</file>