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464727c8b4496" /></Relationships>
</file>

<file path=word/document.xml><?xml version="1.0" encoding="utf-8"?>
<w:document xmlns:r="http://schemas.openxmlformats.org/officeDocument/2006/relationships" xmlns:w="http://schemas.openxmlformats.org/wordprocessingml/2006/main">
  <w:body>
    <w:p>
      <w:pPr>
        <w:pStyle w:val="Title"/>
      </w:pPr>
      <w:r>
        <w:t>Opioid analgesic stewardship: 3a - Proportion of patients separated from hospital with a supply or prescription of opioid analgesics where a Real Time Prescription Monitoring program or prescription shopping program was checked prior to separation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3a - Proportion of patients separated from hospital with a supply or prescription of opioid analgesics where a Real Time Prescription Monitoring program or prescription shopping program was checked prior to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 - Proportion of patients separated from hospital with a supply or prescription of opioid analgesics where a Real Time Prescription Monitoring program or prescription shopping program was checked prior to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95e8c54cb4cca">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physically departed from the hospital with a supply or prescription of opioid analgesics where a Real Time Prescription Monitoring program or prescription shopping program was checked prior to their departure.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of Real Time Prescription Monitoring and prescription shopping programs are designed to monitor the prescribing and dispensing of controlled medicines with the aim of reducing their misuse in Australia.</w:t>
            </w:r>
          </w:p>
          <w:p>
            <w:pPr/>
            <w:r>
              <w:rPr>
                <w:rStyle w:val="row-content-rich-text"/>
              </w:rPr>
              <w:t xml:space="preserve">The intention of this indicator is to support the identification of at risk patients and enable referral for follow up in the community if discharged with a prescription for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ac845f23a24033">
              <w:r>
                <w:rPr>
                  <w:rStyle w:val="Hyperlink"/>
                </w:rPr>
                <w:t xml:space="preserve">Clinical care standard indicators: Opioid Analgesic Stewardship in Acute Pain - Acute care edition</w:t>
              </w:r>
            </w:hyperlink>
          </w:p>
          <w:p>
            <w:pPr>
              <w:pStyle w:val="registration-status"/>
              <w:spacing w:before="0" w:after="0"/>
            </w:pPr>
            <w:hyperlink w:history="true" r:id="Rb635f896ac5c4f2c">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admitted patients ‘physically departed’ means on separation from hospital to their usual place of residence, which may include a residential care facility. For non-admitted emergency department patients, it means at the end of the emergency department stay when the patient departs the hospital without being admitted to the same hospital or transferred to another hospital.</w:t>
            </w:r>
          </w:p>
          <w:p>
            <w:pPr>
              <w:spacing w:after="160"/>
            </w:pPr>
            <w:r>
              <w:rPr>
                <w:rStyle w:val="row-content-rich-text"/>
              </w:rPr>
              <w:t xml:space="preserve">The</w:t>
            </w:r>
            <w:hyperlink w:history="true" r:id="Re60683493d584c82">
              <w:r>
                <w:rPr>
                  <w:rStyle w:val="Hyperlink"/>
                </w:rPr>
                <w:t xml:space="preserve"> Separation mode</w:t>
              </w:r>
            </w:hyperlink>
            <w:r>
              <w:rPr>
                <w:rStyle w:val="row-content-rich-text"/>
              </w:rPr>
              <w:t xml:space="preserve"> data element for admitted patients and the </w:t>
            </w:r>
            <w:hyperlink w:history="true" r:id="R5691de1c14214a7c">
              <w:r>
                <w:rPr>
                  <w:rStyle w:val="Hyperlink"/>
                </w:rPr>
                <w:t xml:space="preserve">Episode end status</w:t>
              </w:r>
            </w:hyperlink>
            <w:r>
              <w:rPr>
                <w:rStyle w:val="row-content-rich-text"/>
              </w:rPr>
              <w:t xml:space="preserve"> data element for non-admitted emergency department patients can be used to help identify denominator cases. Inclusion values for these data elements are:</w:t>
            </w:r>
          </w:p>
          <w:p>
            <w:pPr>
              <w:pStyle w:val="ListParagraph"/>
              <w:numPr>
                <w:ilvl w:val="0"/>
                <w:numId w:val="2"/>
              </w:numPr>
            </w:pPr>
            <w:r>
              <w:rPr>
                <w:rStyle w:val="row-content-rich-text"/>
                <w:b/>
              </w:rPr>
              <w:t xml:space="preserve">Separation mode</w:t>
            </w:r>
          </w:p>
          <w:p>
            <w:pPr>
              <w:spacing w:after="160"/>
            </w:pPr>
            <w:r>
              <w:rPr>
                <w:rStyle w:val="row-content-rich-text"/>
              </w:rPr>
              <w:t xml:space="preserve">21 - Discharge/transfer to a residential aged care service, which is not the usual place of residence</w:t>
            </w:r>
          </w:p>
          <w:p>
            <w:pPr>
              <w:spacing w:after="160"/>
            </w:pPr>
            <w:r>
              <w:rPr>
                <w:rStyle w:val="row-content-rich-text"/>
              </w:rPr>
              <w:t xml:space="preserve">22 - Discharge/transfer to a residential aged care service, which is the usual place of residence</w:t>
            </w:r>
          </w:p>
          <w:p>
            <w:pPr>
              <w:spacing w:after="160"/>
            </w:pPr>
            <w:r>
              <w:rPr>
                <w:rStyle w:val="row-content-rich-text"/>
              </w:rPr>
              <w:t xml:space="preserve">90 - Other: includes discharge to usual residence (not including residential aged care), own accommodation/welfare institution (includes prisons, hostels and group homes providing primarily welfare services)</w:t>
            </w:r>
          </w:p>
          <w:p>
            <w:pPr>
              <w:pStyle w:val="ListParagraph"/>
              <w:numPr>
                <w:ilvl w:val="0"/>
                <w:numId w:val="3"/>
              </w:numPr>
            </w:pPr>
            <w:r>
              <w:rPr>
                <w:rStyle w:val="row-content-rich-text"/>
                <w:b/>
              </w:rPr>
              <w:t xml:space="preserve">Episode end status</w:t>
            </w:r>
          </w:p>
          <w:p>
            <w:pPr>
              <w:spacing w:after="160"/>
            </w:pPr>
            <w:r>
              <w:rPr>
                <w:rStyle w:val="row-content-rich-text"/>
                <w:b/>
              </w:rPr>
              <w:t xml:space="preserve">​</w:t>
            </w:r>
            <w:r>
              <w:rPr>
                <w:rStyle w:val="row-content-rich-text"/>
              </w:rPr>
              <w:t xml:space="preserve">2 - Emergency department stay completed - departed without being transferred to a short stay unit, hospital-in-the-home or other admitted patient care unit in this hospital or referred to another hospital.</w:t>
            </w:r>
          </w:p>
          <w:p>
            <w:pPr>
              <w:spacing w:after="160"/>
            </w:pPr>
            <w:r>
              <w:rPr>
                <w:rStyle w:val="row-content-rich-text"/>
              </w:rPr>
              <w:t xml:space="preserve">The numerator includes patients where a Real Time Prescription Monitoring program or prescription shopping program was checked AND the check to be undertaken prior to physical departure.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where a real time prescription monitoring program or a prescription shopping program was checked before the patient physically departed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physically departed from the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Ministers from the Commonwealth, states and territories have agreed to national real time prescription monitoring and are developing and adapting their systems to achieve a national solution.</w:t>
            </w:r>
          </w:p>
          <w:p>
            <w:pPr/>
            <w:r>
              <w:rPr>
                <w:rStyle w:val="row-content-rich-text"/>
              </w:rPr>
              <w:t xml:space="preserve">This indicator is based on existing indicators in use in the United States. For example, the following indicator in the Houston Methodist Hospital Study (Rizk et al, 2019) 'Proportion of patients who are admitted or discharged on opioid medication for whom a prescription drug monitoring program report was run'.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Opioid Analgesic Stewardship in Acute Pain Clinical Care Standard – Acute care edition. Sydney: ACSQHC; 2022.</w:t>
            </w:r>
          </w:p>
          <w:p>
            <w:pPr>
              <w:spacing w:after="160"/>
            </w:pPr>
            <w:r>
              <w:rPr>
                <w:rStyle w:val="row-content-rich-text"/>
              </w:rPr>
              <w:t xml:space="preserve">Rizk E, Swan JT, Cheon O, Colavecchia AC, Bui LN, Kash BA, Chokshi SP, Chen H, Johnson ML, Liebl MG, Fink E. Quality indicators to measure the effect of opioid stewardship interventions in hospital and emergency department settings. American Journal of Health-System Pharmacy. 2019 Feb 15;76(4):225-35. </w:t>
            </w:r>
            <w:hyperlink w:history="true" r:id="Rbb79628e934041ff">
              <w:r>
                <w:rPr>
                  <w:rStyle w:val="Hyperlink"/>
                </w:rPr>
                <w:t xml:space="preserve">https://doi.org/10.1093/ajhp/zxy042</w:t>
              </w:r>
            </w:hyperlink>
          </w:p>
          <w:p>
            <w:pPr/>
            <w:r>
              <w:rPr>
                <w:rStyle w:val="row-content-rich-text"/>
              </w:rPr>
              <w:t xml:space="preserve"> </w:t>
            </w:r>
          </w:p>
        </w:tc>
      </w:tr>
    </w:tbl>
    <w:p>
      <w:r>
        <w:br/>
      </w:r>
    </w:p>
    <w:sectPr>
      <w:footerReference xmlns:r="http://schemas.openxmlformats.org/officeDocument/2006/relationships" w:type="default" r:id="R57f91b4e36d1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c9d8d2f2b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91b4e36d148a6" /><Relationship Type="http://schemas.openxmlformats.org/officeDocument/2006/relationships/header" Target="/word/header1.xml" Id="R72733864c44c4719" /><Relationship Type="http://schemas.openxmlformats.org/officeDocument/2006/relationships/settings" Target="/word/settings.xml" Id="R065e195513214f0f" /><Relationship Type="http://schemas.openxmlformats.org/officeDocument/2006/relationships/styles" Target="/word/styles.xml" Id="Rd2fdc6f510554d2e" /><Relationship Type="http://schemas.openxmlformats.org/officeDocument/2006/relationships/numbering" Target="/word/numbering.xml" Id="R333722810bc64cf5" /><Relationship Type="http://schemas.openxmlformats.org/officeDocument/2006/relationships/hyperlink" Target="https://meteor-uat.aihw.gov.au/RegistrationAuthority/2" TargetMode="External" Id="Ra9195e8c54cb4cca" /><Relationship Type="http://schemas.openxmlformats.org/officeDocument/2006/relationships/hyperlink" Target="https://meteor-uat.aihw.gov.au/content/755544" TargetMode="External" Id="Ra1ac845f23a24033" /><Relationship Type="http://schemas.openxmlformats.org/officeDocument/2006/relationships/hyperlink" Target="https://meteor-uat.aihw.gov.au/RegistrationAuthority/2" TargetMode="External" Id="Rb635f896ac5c4f2c" /><Relationship Type="http://schemas.openxmlformats.org/officeDocument/2006/relationships/hyperlink" Target="https://meteor-uat.aihw.gov.au/content/722644" TargetMode="External" Id="Re60683493d584c82" /><Relationship Type="http://schemas.openxmlformats.org/officeDocument/2006/relationships/hyperlink" Target="https://meteor-uat.aihw.gov.au/content/746709" TargetMode="External" Id="R5691de1c14214a7c" /><Relationship Type="http://schemas.openxmlformats.org/officeDocument/2006/relationships/hyperlink" Target="https://doi.org/10.1093/ajhp/zxy042" TargetMode="External" Id="Rbb79628e934041ff" /></Relationships>
</file>

<file path=word/_rels/header1.xml.rels>&#65279;<?xml version="1.0" encoding="utf-8"?><Relationships xmlns="http://schemas.openxmlformats.org/package/2006/relationships"><Relationship Type="http://schemas.openxmlformats.org/officeDocument/2006/relationships/image" Target="/media/image.png" Id="R98dc9d8d2f2b4362" /></Relationships>
</file>