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68982632a94af7" /></Relationships>
</file>

<file path=word/document.xml><?xml version="1.0" encoding="utf-8"?>
<w:document xmlns:r="http://schemas.openxmlformats.org/officeDocument/2006/relationships" xmlns:w="http://schemas.openxmlformats.org/wordprocessingml/2006/main">
  <w:body>
    <w:p>
      <w:pPr>
        <w:pStyle w:val="Title"/>
      </w:pPr>
      <w:r>
        <w:t>Episode of healthcare-associated Staphylococcus aureus bloodstream infection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healthcare-associated Staphylococcus aureus bloodstream infection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b5cf1516574d48">
              <w:r>
                <w:rPr>
                  <w:rStyle w:val="Hyperlink"/>
                  <w:color w:val="244061"/>
                </w:rPr>
                <w:t xml:space="preserve">Health!</w:t>
              </w:r>
            </w:hyperlink>
            <w:r>
              <w:rPr>
                <w:rStyle w:val="row-content"/>
                <w:color w:val="244061"/>
              </w:rPr>
              <w:t xml:space="preserve">, Qualified 16/03/2022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episode of a Staphylococcus aureus bloodstream infection (SABSI) is a positive blood culture for </w:t>
            </w:r>
            <w:r>
              <w:rPr>
                <w:rStyle w:val="row-content-rich-text"/>
                <w:i/>
              </w:rPr>
              <w:t xml:space="preserve">Staphylococcus aureus</w:t>
            </w:r>
            <w:r>
              <w:rPr>
                <w:rStyle w:val="row-content-rich-text"/>
              </w:rPr>
              <w:t xml:space="preserve"> (</w:t>
            </w:r>
            <w:r>
              <w:rPr>
                <w:rStyle w:val="row-content-rich-text"/>
                <w:i/>
              </w:rPr>
              <w:t xml:space="preserve">S. aureus</w:t>
            </w:r>
            <w:r>
              <w:rPr>
                <w:rStyle w:val="row-content-rich-text"/>
              </w:rPr>
              <w:t xml:space="preserve">). For surveillance purposes, only the first isolate per patient is counted, unless at least 14 days has passed without a positive culture, after which a subsequent episode is recorded.</w:t>
            </w:r>
          </w:p>
          <w:p>
            <w:pPr>
              <w:spacing w:after="160"/>
            </w:pPr>
            <w:r>
              <w:rPr>
                <w:rStyle w:val="row-content-rich-text"/>
                <w:b/>
              </w:rPr>
              <w:t xml:space="preserve">A SABSI is healthcare-associated if Criterion A1 or 2, or Criterion B1, 2, 3 or 4 are met. </w:t>
            </w:r>
          </w:p>
          <w:p>
            <w:pPr>
              <w:spacing w:after="160"/>
            </w:pPr>
            <w:r>
              <w:rPr>
                <w:rStyle w:val="row-content-rich-text"/>
                <w:b/>
              </w:rPr>
              <w:t xml:space="preserve">CRITERION A: </w:t>
            </w:r>
            <w:r>
              <w:rPr>
                <w:rStyle w:val="row-content-rich-text"/>
              </w:rPr>
              <w:t xml:space="preserve">The patient’s first Staphylococcus aureus positive blood culture was collected:</w:t>
            </w:r>
          </w:p>
          <w:p>
            <w:pPr>
              <w:spacing w:after="160"/>
            </w:pPr>
            <w:r>
              <w:rPr>
                <w:rStyle w:val="row-content-rich-text"/>
              </w:rPr>
              <w:t xml:space="preserve">A1. &gt; 48 hours after admission, with no documented evidence that infection was present (including incubating) on admission</w:t>
            </w:r>
          </w:p>
          <w:p>
            <w:pPr>
              <w:spacing w:after="160"/>
            </w:pPr>
            <w:r>
              <w:rPr>
                <w:rStyle w:val="row-content-rich-text"/>
              </w:rPr>
              <w:t xml:space="preserve">OR</w:t>
            </w:r>
          </w:p>
          <w:p>
            <w:pPr>
              <w:spacing w:after="160"/>
            </w:pPr>
            <w:r>
              <w:rPr>
                <w:rStyle w:val="row-content-rich-text"/>
              </w:rPr>
              <w:t xml:space="preserve">A2. &lt; 48 hours after discharge.</w:t>
            </w:r>
          </w:p>
          <w:p>
            <w:pPr>
              <w:spacing w:after="160"/>
            </w:pPr>
            <w:r>
              <w:rPr>
                <w:rStyle w:val="row-content-rich-text"/>
                <w:b/>
              </w:rPr>
              <w:t xml:space="preserve">OR</w:t>
            </w:r>
          </w:p>
          <w:p>
            <w:pPr>
              <w:spacing w:after="160"/>
            </w:pPr>
            <w:r>
              <w:rPr>
                <w:rStyle w:val="row-content-rich-text"/>
                <w:b/>
              </w:rPr>
              <w:t xml:space="preserve">CRITERION B:</w:t>
            </w:r>
            <w:r>
              <w:rPr>
                <w:rStyle w:val="row-content-rich-text"/>
              </w:rPr>
              <w:t xml:space="preserve"> The patient’s first positive Staphylococcus aureus blood culture was collected ≤ 48 hours after admission and one or more of the following key clinical criteria is met:</w:t>
            </w:r>
          </w:p>
          <w:p>
            <w:pPr>
              <w:spacing w:after="160"/>
            </w:pPr>
            <w:r>
              <w:rPr>
                <w:rStyle w:val="row-content-rich-text"/>
              </w:rPr>
              <w:t xml:space="preserve">B1. SABSI is a complication of the presence of an indwelling medical device</w:t>
            </w:r>
          </w:p>
          <w:p>
            <w:pPr>
              <w:spacing w:after="160"/>
            </w:pPr>
            <w:r>
              <w:rPr>
                <w:rStyle w:val="row-content-rich-text"/>
              </w:rPr>
              <w:t xml:space="preserve">B2. SABSI occurs within 30 days of a surgical procedure where the SABSI is related to the surgical site, or 90 days for deep incisional/organ space infections related to a surgically implanted device</w:t>
            </w:r>
          </w:p>
          <w:p>
            <w:pPr>
              <w:spacing w:after="160"/>
            </w:pPr>
            <w:r>
              <w:rPr>
                <w:rStyle w:val="row-content-rich-text"/>
              </w:rPr>
              <w:t xml:space="preserve">B3. SABSI was diagnosed within 48 hours of a related invasive instrumentation or incision</w:t>
            </w:r>
          </w:p>
          <w:p>
            <w:pPr>
              <w:spacing w:after="160"/>
            </w:pPr>
            <w:r>
              <w:rPr>
                <w:rStyle w:val="row-content-rich-text"/>
              </w:rPr>
              <w:t xml:space="preserve">B4. SABSI is associated with neutropenia* contributed to by cytotoxic therapy and is unrelated to the presence of an indwelling medical device.</w:t>
            </w:r>
          </w:p>
          <w:p>
            <w:pPr>
              <w:spacing w:after="160"/>
            </w:pPr>
            <w:r>
              <w:rPr>
                <w:rStyle w:val="row-content-rich-text"/>
              </w:rPr>
              <w:t xml:space="preserve">If neither Criterion A1 or 2, nor Criterion B1, 2, 3 or 4 are met, then the SABSI is considered to be community-acquired for the purposes of surveillance.</w:t>
            </w:r>
          </w:p>
          <w:p>
            <w:pPr/>
            <w:r>
              <w:rPr>
                <w:rStyle w:val="row-content-rich-text"/>
              </w:rPr>
              <w:t xml:space="preserve">*Neutropenia is defined as at least two separate calendar days with values of absolute neutrophil count (ANC) or total white blood cells count (WBC)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98ca43cb24544281">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d5b9df28fc44f6">
              <w:r>
                <w:rPr>
                  <w:rStyle w:val="Hyperlink"/>
                </w:rPr>
                <w:t xml:space="preserve">Episode of healthcare-associated Staphylococcus aureus bacteraemia</w:t>
              </w:r>
            </w:hyperlink>
          </w:p>
          <w:p>
            <w:pPr>
              <w:pStyle w:val="registration-status"/>
              <w:spacing w:before="0" w:after="0"/>
            </w:pPr>
            <w:hyperlink w:history="true" r:id="R7bdf36b2dc564a99">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b564da14a944bc6">
              <w:r>
                <w:rPr>
                  <w:rStyle w:val="Hyperlink"/>
                </w:rPr>
                <w:t xml:space="preserve">Establishment—number of healthcare-associated Methicillin-resistant Staphylococcus aureus (MRSA) bloodstream infection patient episodes </w:t>
              </w:r>
            </w:hyperlink>
          </w:p>
          <w:p>
            <w:pPr>
              <w:pStyle w:val="registration-status"/>
              <w:spacing w:before="0" w:after="0"/>
            </w:pPr>
            <w:hyperlink w:history="true" r:id="R895c4351d8ab49f7">
              <w:r>
                <w:rPr>
                  <w:rStyle w:val="Hyperlink"/>
                  <w:color w:val="244061"/>
                </w:rPr>
                <w:t xml:space="preserve">Health!</w:t>
              </w:r>
            </w:hyperlink>
            <w:r>
              <w:rPr>
                <w:rStyle w:val="row-content"/>
                <w:color w:val="244061"/>
              </w:rPr>
              <w:t xml:space="preserve">, Qualified 16/03/2022</w:t>
            </w:r>
          </w:p>
          <w:p>
            <w:r>
              <w:br/>
            </w:r>
            <w:hyperlink w:history="true" r:id="R18c6888997c440f1">
              <w:r>
                <w:rPr>
                  <w:rStyle w:val="Hyperlink"/>
                </w:rPr>
                <w:t xml:space="preserve">Establishment—number of healthcare-associated Methicillin-resistant Staphylococcus aureus (MRSA) bloodstream infection patient episodes, total episodes N[NNNN]</w:t>
              </w:r>
            </w:hyperlink>
          </w:p>
          <w:p>
            <w:pPr>
              <w:pStyle w:val="registration-status"/>
              <w:spacing w:before="0" w:after="0"/>
            </w:pPr>
            <w:hyperlink w:history="true" r:id="R5e4a06780ec44ef7">
              <w:r>
                <w:rPr>
                  <w:rStyle w:val="Hyperlink"/>
                  <w:color w:val="244061"/>
                </w:rPr>
                <w:t xml:space="preserve">Health!</w:t>
              </w:r>
            </w:hyperlink>
            <w:r>
              <w:rPr>
                <w:rStyle w:val="row-content"/>
                <w:color w:val="244061"/>
              </w:rPr>
              <w:t xml:space="preserve">, Qualified 16/03/2022</w:t>
            </w:r>
          </w:p>
          <w:p>
            <w:r>
              <w:br/>
            </w:r>
            <w:hyperlink w:history="true" r:id="R301b0a4e047e44b4">
              <w:r>
                <w:rPr>
                  <w:rStyle w:val="Hyperlink"/>
                </w:rPr>
                <w:t xml:space="preserve">Establishment—number of healthcare-associated Methicillin-sensitive Staphylococcus aureus (MSSA) bloodstream infection patient episodes</w:t>
              </w:r>
            </w:hyperlink>
          </w:p>
          <w:p>
            <w:pPr>
              <w:pStyle w:val="registration-status"/>
              <w:spacing w:before="0" w:after="0"/>
            </w:pPr>
            <w:hyperlink w:history="true" r:id="R2c57831d3d8b4b77">
              <w:r>
                <w:rPr>
                  <w:rStyle w:val="Hyperlink"/>
                  <w:color w:val="244061"/>
                </w:rPr>
                <w:t xml:space="preserve">Health!</w:t>
              </w:r>
            </w:hyperlink>
            <w:r>
              <w:rPr>
                <w:rStyle w:val="row-content"/>
                <w:color w:val="244061"/>
              </w:rPr>
              <w:t xml:space="preserve">, Qualified 16/03/2022</w:t>
            </w:r>
          </w:p>
          <w:p>
            <w:r>
              <w:br/>
            </w:r>
            <w:hyperlink w:history="true" r:id="R7ecbdb24b1f24b73">
              <w:r>
                <w:rPr>
                  <w:rStyle w:val="Hyperlink"/>
                </w:rPr>
                <w:t xml:space="preserve">Establishment—number of healthcare-associated Methicillin-sensitive Staphylococcus aureus (MSSA) bloodstream infection patient episodes, total episodes N[NNNN]</w:t>
              </w:r>
            </w:hyperlink>
          </w:p>
          <w:p>
            <w:pPr>
              <w:pStyle w:val="registration-status"/>
              <w:spacing w:before="0" w:after="0"/>
            </w:pPr>
            <w:hyperlink w:history="true" r:id="Rb9199f40350d456c">
              <w:r>
                <w:rPr>
                  <w:rStyle w:val="Hyperlink"/>
                  <w:color w:val="244061"/>
                </w:rPr>
                <w:t xml:space="preserve">Health!</w:t>
              </w:r>
            </w:hyperlink>
            <w:r>
              <w:rPr>
                <w:rStyle w:val="row-content"/>
                <w:color w:val="244061"/>
              </w:rPr>
              <w:t xml:space="preserve">, Qualified 16/03/2022</w:t>
            </w:r>
          </w:p>
          <w:p>
            <w:r>
              <w:br/>
            </w:r>
            <w:hyperlink w:history="true" r:id="R8eaa0ba96f16483e">
              <w:r>
                <w:rPr>
                  <w:rStyle w:val="Hyperlink"/>
                </w:rPr>
                <w:t xml:space="preserve">Establishment—number of hospital patient days under Staphylococcus aureus bloodstream infection surveillance </w:t>
              </w:r>
            </w:hyperlink>
          </w:p>
          <w:p>
            <w:pPr>
              <w:pStyle w:val="registration-status"/>
              <w:spacing w:before="0" w:after="0"/>
            </w:pPr>
            <w:hyperlink w:history="true" r:id="Ra681f8fb1fed41d0">
              <w:r>
                <w:rPr>
                  <w:rStyle w:val="Hyperlink"/>
                  <w:color w:val="244061"/>
                </w:rPr>
                <w:t xml:space="preserve">Health!</w:t>
              </w:r>
            </w:hyperlink>
            <w:r>
              <w:rPr>
                <w:rStyle w:val="row-content"/>
                <w:color w:val="244061"/>
              </w:rPr>
              <w:t xml:space="preserve">, Qualified 16/03/2022</w:t>
            </w:r>
          </w:p>
          <w:p>
            <w:r>
              <w:br/>
            </w:r>
            <w:hyperlink w:history="true" r:id="Ra7421b87cf124600">
              <w:r>
                <w:rPr>
                  <w:rStyle w:val="Hyperlink"/>
                </w:rPr>
                <w:t xml:space="preserve">Establishment—number of hospital patient days under Staphylococcus aureus bloodstream infection surveillance, total days N[NNNNN]</w:t>
              </w:r>
            </w:hyperlink>
          </w:p>
          <w:p>
            <w:pPr>
              <w:pStyle w:val="registration-status"/>
              <w:spacing w:before="0" w:after="0"/>
            </w:pPr>
            <w:hyperlink w:history="true" r:id="R9d7d7a85ab05488c">
              <w:r>
                <w:rPr>
                  <w:rStyle w:val="Hyperlink"/>
                  <w:color w:val="244061"/>
                </w:rPr>
                <w:t xml:space="preserve">Health!</w:t>
              </w:r>
            </w:hyperlink>
            <w:r>
              <w:rPr>
                <w:rStyle w:val="row-content"/>
                <w:color w:val="244061"/>
              </w:rPr>
              <w:t xml:space="preserve">, Qualified 16/03/2022</w:t>
            </w:r>
          </w:p>
          <w:p>
            <w:r>
              <w:br/>
            </w:r>
            <w:hyperlink w:history="true" r:id="R35fba22597b84391">
              <w:r>
                <w:rPr>
                  <w:rStyle w:val="Hyperlink"/>
                </w:rPr>
                <w:t xml:space="preserve">Establishment—Staphylococcus aureus bloodstream infection surveillance indicator</w:t>
              </w:r>
            </w:hyperlink>
          </w:p>
          <w:p>
            <w:pPr>
              <w:pStyle w:val="registration-status"/>
              <w:spacing w:before="0" w:after="0"/>
            </w:pPr>
            <w:hyperlink w:history="true" r:id="Rd90172bb75ba4dc6">
              <w:r>
                <w:rPr>
                  <w:rStyle w:val="Hyperlink"/>
                  <w:color w:val="244061"/>
                </w:rPr>
                <w:t xml:space="preserve">Health!</w:t>
              </w:r>
            </w:hyperlink>
            <w:r>
              <w:rPr>
                <w:rStyle w:val="row-content"/>
                <w:color w:val="244061"/>
              </w:rPr>
              <w:t xml:space="preserve">, Qualified 16/03/2022</w:t>
            </w:r>
          </w:p>
          <w:p>
            <w:r>
              <w:br/>
            </w:r>
            <w:hyperlink w:history="true" r:id="Ref5eb4d9479c40ec">
              <w:r>
                <w:rPr>
                  <w:rStyle w:val="Hyperlink"/>
                </w:rPr>
                <w:t xml:space="preserve">Establishment—Staphylococcus aureus bloodstream infection surveillance indicator, yes/no code N</w:t>
              </w:r>
            </w:hyperlink>
          </w:p>
          <w:p>
            <w:pPr>
              <w:pStyle w:val="registration-status"/>
              <w:spacing w:before="0" w:after="0"/>
            </w:pPr>
            <w:hyperlink w:history="true" r:id="R535c29510a934620">
              <w:r>
                <w:rPr>
                  <w:rStyle w:val="Hyperlink"/>
                  <w:color w:val="244061"/>
                </w:rPr>
                <w:t xml:space="preserve">Health!</w:t>
              </w:r>
            </w:hyperlink>
            <w:r>
              <w:rPr>
                <w:rStyle w:val="row-content"/>
                <w:color w:val="244061"/>
              </w:rPr>
              <w:t xml:space="preserve">, Qualified 16/03/2022</w:t>
            </w:r>
          </w:p>
          <w:p>
            <w:r>
              <w:br/>
            </w:r>
            <w:hyperlink w:history="true" r:id="R3fd045ca3fbc4885">
              <w:r>
                <w:rPr>
                  <w:rStyle w:val="Hyperlink"/>
                </w:rPr>
                <w:t xml:space="preserve">Healthcare-associated infections NBEDS 2021–</w:t>
              </w:r>
            </w:hyperlink>
          </w:p>
          <w:p>
            <w:pPr>
              <w:pStyle w:val="registration-status"/>
              <w:spacing w:before="0" w:after="0"/>
            </w:pPr>
            <w:hyperlink w:history="true" r:id="Rf1630667897a46aa">
              <w:r>
                <w:rPr>
                  <w:rStyle w:val="Hyperlink"/>
                  <w:color w:val="244061"/>
                </w:rPr>
                <w:t xml:space="preserve">Health!</w:t>
              </w:r>
            </w:hyperlink>
            <w:r>
              <w:rPr>
                <w:rStyle w:val="row-content"/>
                <w:color w:val="244061"/>
              </w:rPr>
              <w:t xml:space="preserve">, Qualified 16/03/2022</w:t>
            </w:r>
          </w:p>
          <w:p>
            <w:r>
              <w:br/>
            </w:r>
            <w:hyperlink w:history="true" r:id="R86dce8da041548b2">
              <w:r>
                <w:rPr>
                  <w:rStyle w:val="Hyperlink"/>
                </w:rPr>
                <w:t xml:space="preserve">Number of healthcare-associated Methicillin-resistant Staphylococcus aureus (MRSA) bloodstream infection patient episodes</w:t>
              </w:r>
            </w:hyperlink>
          </w:p>
          <w:p>
            <w:pPr>
              <w:pStyle w:val="registration-status"/>
              <w:spacing w:before="0" w:after="0"/>
            </w:pPr>
            <w:hyperlink w:history="true" r:id="Rb93f0ae1e3534529">
              <w:r>
                <w:rPr>
                  <w:rStyle w:val="Hyperlink"/>
                  <w:color w:val="244061"/>
                </w:rPr>
                <w:t xml:space="preserve">Health!</w:t>
              </w:r>
            </w:hyperlink>
            <w:r>
              <w:rPr>
                <w:rStyle w:val="row-content"/>
                <w:color w:val="244061"/>
              </w:rPr>
              <w:t xml:space="preserve">, Qualified 16/03/2022</w:t>
            </w:r>
          </w:p>
          <w:p>
            <w:r>
              <w:br/>
            </w:r>
            <w:hyperlink w:history="true" r:id="Re77b479c4e754a75">
              <w:r>
                <w:rPr>
                  <w:rStyle w:val="Hyperlink"/>
                </w:rPr>
                <w:t xml:space="preserve">Number of healthcare-associated Methicillin-sensitive Staphylococcus aureus (MSSA) bloodstream infection patient episodes</w:t>
              </w:r>
            </w:hyperlink>
          </w:p>
          <w:p>
            <w:pPr>
              <w:pStyle w:val="registration-status"/>
              <w:spacing w:before="0" w:after="0"/>
            </w:pPr>
            <w:hyperlink w:history="true" r:id="Raaad2af1e24f4b5b">
              <w:r>
                <w:rPr>
                  <w:rStyle w:val="Hyperlink"/>
                  <w:color w:val="244061"/>
                </w:rPr>
                <w:t xml:space="preserve">Health!</w:t>
              </w:r>
            </w:hyperlink>
            <w:r>
              <w:rPr>
                <w:rStyle w:val="row-content"/>
                <w:color w:val="244061"/>
              </w:rPr>
              <w:t xml:space="preserve">, Qualified 16/03/2022</w:t>
            </w:r>
          </w:p>
          <w:p>
            <w:r>
              <w:br/>
            </w:r>
            <w:hyperlink w:history="true" r:id="Ra84acefae3bb4693">
              <w:r>
                <w:rPr>
                  <w:rStyle w:val="Hyperlink"/>
                </w:rPr>
                <w:t xml:space="preserve">Number of hospital patient days under Staphylococcus aureus bloodstream infection surveillance</w:t>
              </w:r>
            </w:hyperlink>
          </w:p>
          <w:p>
            <w:pPr>
              <w:pStyle w:val="registration-status"/>
              <w:spacing w:before="0" w:after="0"/>
            </w:pPr>
            <w:hyperlink w:history="true" r:id="R9633af3359a34153">
              <w:r>
                <w:rPr>
                  <w:rStyle w:val="Hyperlink"/>
                  <w:color w:val="244061"/>
                </w:rPr>
                <w:t xml:space="preserve">Health!</w:t>
              </w:r>
            </w:hyperlink>
            <w:r>
              <w:rPr>
                <w:rStyle w:val="row-content"/>
                <w:color w:val="244061"/>
              </w:rPr>
              <w:t xml:space="preserve">, Qualified 16/03/2022</w:t>
            </w:r>
          </w:p>
          <w:p>
            <w:r>
              <w:br/>
            </w:r>
            <w:hyperlink w:history="true" r:id="R252c60ef5b734966">
              <w:r>
                <w:rPr>
                  <w:rStyle w:val="Hyperlink"/>
                </w:rPr>
                <w:t xml:space="preserve">Staphylococcus aureus bloodstream infection surveillance indicator</w:t>
              </w:r>
            </w:hyperlink>
          </w:p>
          <w:p>
            <w:pPr>
              <w:pStyle w:val="registration-status"/>
              <w:spacing w:before="0" w:after="0"/>
            </w:pPr>
            <w:hyperlink w:history="true" r:id="R48ad6a1ef4204f7c">
              <w:r>
                <w:rPr>
                  <w:rStyle w:val="Hyperlink"/>
                  <w:color w:val="244061"/>
                </w:rPr>
                <w:t xml:space="preserve">Health!</w:t>
              </w:r>
            </w:hyperlink>
            <w:r>
              <w:rPr>
                <w:rStyle w:val="row-content"/>
                <w:color w:val="244061"/>
              </w:rPr>
              <w:t xml:space="preserve">, Qualified 16/03/2022</w:t>
            </w:r>
          </w:p>
          <w:p>
            <w:r>
              <w:br/>
            </w:r>
          </w:p>
        </w:tc>
      </w:tr>
    </w:tbl>
    <w:p>
      <w:r>
        <w:br/>
      </w:r>
    </w:p>
    <w:sectPr>
      <w:footerReference xmlns:r="http://schemas.openxmlformats.org/officeDocument/2006/relationships" w:type="default" r:id="Rbac43ecc7c1a46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2965c6afd0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c43ecc7c1a4620" /><Relationship Type="http://schemas.openxmlformats.org/officeDocument/2006/relationships/header" Target="/word/header1.xml" Id="R0ca4111fc42442df" /><Relationship Type="http://schemas.openxmlformats.org/officeDocument/2006/relationships/settings" Target="/word/settings.xml" Id="R12ba551e17cc46f7" /><Relationship Type="http://schemas.openxmlformats.org/officeDocument/2006/relationships/styles" Target="/word/styles.xml" Id="R49a02e233b40474d" /><Relationship Type="http://schemas.openxmlformats.org/officeDocument/2006/relationships/hyperlink" Target="https://meteor-uat.aihw.gov.au/RegistrationAuthority/14" TargetMode="External" Id="Rb1b5cf1516574d48" /><Relationship Type="http://schemas.openxmlformats.org/officeDocument/2006/relationships/hyperlink" Target="https://www.safetyandquality.gov.au/publications-and-resources/resource-library/implementation-guide-surveillance-staphylococcus-aureus-bloodstream-infection" TargetMode="External" Id="R98ca43cb24544281" /><Relationship Type="http://schemas.openxmlformats.org/officeDocument/2006/relationships/hyperlink" Target="https://meteor-uat.aihw.gov.au/content/590503" TargetMode="External" Id="Rf3d5b9df28fc44f6" /><Relationship Type="http://schemas.openxmlformats.org/officeDocument/2006/relationships/hyperlink" Target="https://meteor-uat.aihw.gov.au/RegistrationAuthority/14" TargetMode="External" Id="R7bdf36b2dc564a99" /><Relationship Type="http://schemas.openxmlformats.org/officeDocument/2006/relationships/hyperlink" Target="https://meteor-uat.aihw.gov.au/content/751483" TargetMode="External" Id="R0b564da14a944bc6" /><Relationship Type="http://schemas.openxmlformats.org/officeDocument/2006/relationships/hyperlink" Target="https://meteor-uat.aihw.gov.au/RegistrationAuthority/14" TargetMode="External" Id="R895c4351d8ab49f7" /><Relationship Type="http://schemas.openxmlformats.org/officeDocument/2006/relationships/hyperlink" Target="https://meteor-uat.aihw.gov.au/content/751492" TargetMode="External" Id="R18c6888997c440f1" /><Relationship Type="http://schemas.openxmlformats.org/officeDocument/2006/relationships/hyperlink" Target="https://meteor-uat.aihw.gov.au/RegistrationAuthority/14" TargetMode="External" Id="R5e4a06780ec44ef7" /><Relationship Type="http://schemas.openxmlformats.org/officeDocument/2006/relationships/hyperlink" Target="https://meteor-uat.aihw.gov.au/content/751496" TargetMode="External" Id="R301b0a4e047e44b4" /><Relationship Type="http://schemas.openxmlformats.org/officeDocument/2006/relationships/hyperlink" Target="https://meteor-uat.aihw.gov.au/RegistrationAuthority/14" TargetMode="External" Id="R2c57831d3d8b4b77" /><Relationship Type="http://schemas.openxmlformats.org/officeDocument/2006/relationships/hyperlink" Target="https://meteor-uat.aihw.gov.au/content/751503" TargetMode="External" Id="R7ecbdb24b1f24b73" /><Relationship Type="http://schemas.openxmlformats.org/officeDocument/2006/relationships/hyperlink" Target="https://meteor-uat.aihw.gov.au/RegistrationAuthority/14" TargetMode="External" Id="Rb9199f40350d456c" /><Relationship Type="http://schemas.openxmlformats.org/officeDocument/2006/relationships/hyperlink" Target="https://meteor-uat.aihw.gov.au/content/754298" TargetMode="External" Id="R8eaa0ba96f16483e" /><Relationship Type="http://schemas.openxmlformats.org/officeDocument/2006/relationships/hyperlink" Target="https://meteor-uat.aihw.gov.au/RegistrationAuthority/14" TargetMode="External" Id="Ra681f8fb1fed41d0" /><Relationship Type="http://schemas.openxmlformats.org/officeDocument/2006/relationships/hyperlink" Target="https://meteor-uat.aihw.gov.au/content/754302" TargetMode="External" Id="Ra7421b87cf124600" /><Relationship Type="http://schemas.openxmlformats.org/officeDocument/2006/relationships/hyperlink" Target="https://meteor-uat.aihw.gov.au/RegistrationAuthority/14" TargetMode="External" Id="R9d7d7a85ab05488c" /><Relationship Type="http://schemas.openxmlformats.org/officeDocument/2006/relationships/hyperlink" Target="https://meteor-uat.aihw.gov.au/content/751508" TargetMode="External" Id="R35fba22597b84391" /><Relationship Type="http://schemas.openxmlformats.org/officeDocument/2006/relationships/hyperlink" Target="https://meteor-uat.aihw.gov.au/RegistrationAuthority/14" TargetMode="External" Id="Rd90172bb75ba4dc6" /><Relationship Type="http://schemas.openxmlformats.org/officeDocument/2006/relationships/hyperlink" Target="https://meteor-uat.aihw.gov.au/content/754293" TargetMode="External" Id="Ref5eb4d9479c40ec" /><Relationship Type="http://schemas.openxmlformats.org/officeDocument/2006/relationships/hyperlink" Target="https://meteor-uat.aihw.gov.au/RegistrationAuthority/14" TargetMode="External" Id="R535c29510a934620" /><Relationship Type="http://schemas.openxmlformats.org/officeDocument/2006/relationships/hyperlink" Target="https://meteor-uat.aihw.gov.au/content/751510" TargetMode="External" Id="R3fd045ca3fbc4885" /><Relationship Type="http://schemas.openxmlformats.org/officeDocument/2006/relationships/hyperlink" Target="https://meteor-uat.aihw.gov.au/RegistrationAuthority/14" TargetMode="External" Id="Rf1630667897a46aa" /><Relationship Type="http://schemas.openxmlformats.org/officeDocument/2006/relationships/hyperlink" Target="https://meteor-uat.aihw.gov.au/content/751522" TargetMode="External" Id="R86dce8da041548b2" /><Relationship Type="http://schemas.openxmlformats.org/officeDocument/2006/relationships/hyperlink" Target="https://meteor-uat.aihw.gov.au/RegistrationAuthority/14" TargetMode="External" Id="Rb93f0ae1e3534529" /><Relationship Type="http://schemas.openxmlformats.org/officeDocument/2006/relationships/hyperlink" Target="https://meteor-uat.aihw.gov.au/content/751530" TargetMode="External" Id="Re77b479c4e754a75" /><Relationship Type="http://schemas.openxmlformats.org/officeDocument/2006/relationships/hyperlink" Target="https://meteor-uat.aihw.gov.au/RegistrationAuthority/14" TargetMode="External" Id="Raaad2af1e24f4b5b" /><Relationship Type="http://schemas.openxmlformats.org/officeDocument/2006/relationships/hyperlink" Target="https://meteor-uat.aihw.gov.au/content/754296" TargetMode="External" Id="Ra84acefae3bb4693" /><Relationship Type="http://schemas.openxmlformats.org/officeDocument/2006/relationships/hyperlink" Target="https://meteor-uat.aihw.gov.au/RegistrationAuthority/14" TargetMode="External" Id="R9633af3359a34153" /><Relationship Type="http://schemas.openxmlformats.org/officeDocument/2006/relationships/hyperlink" Target="https://meteor-uat.aihw.gov.au/content/751515" TargetMode="External" Id="R252c60ef5b734966" /><Relationship Type="http://schemas.openxmlformats.org/officeDocument/2006/relationships/hyperlink" Target="https://meteor-uat.aihw.gov.au/RegistrationAuthority/14" TargetMode="External" Id="R48ad6a1ef4204f7c" /></Relationships>
</file>

<file path=word/_rels/header1.xml.rels>&#65279;<?xml version="1.0" encoding="utf-8"?><Relationships xmlns="http://schemas.openxmlformats.org/package/2006/relationships"><Relationship Type="http://schemas.openxmlformats.org/officeDocument/2006/relationships/image" Target="/media/image.png" Id="Rd72965c6afd041d1" /></Relationships>
</file>