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ebb39870945d1"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c2f04b4d9499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8543e12854615">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9299237214c21">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4153ff74577c4c6a">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f34d142c30ec42d5">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83381e3149274418">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9515c18f7b57407f">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04892b111a674729">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ea34f4741de4401a">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6cfcade4bd064171">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2a26e33fc4237">
              <w:r>
                <w:rPr>
                  <w:rStyle w:val="Hyperlink"/>
                </w:rPr>
                <w:t xml:space="preserve">Birth event—labour onset type, code N</w:t>
              </w:r>
            </w:hyperlink>
          </w:p>
          <w:p>
            <w:pPr>
              <w:pStyle w:val="registration-status"/>
              <w:spacing w:before="0" w:after="0"/>
            </w:pPr>
            <w:hyperlink w:history="true" r:id="R85579a28cb0c4ca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511d0f5be28459d">
              <w:r>
                <w:rPr>
                  <w:rStyle w:val="Hyperlink"/>
                </w:rPr>
                <w:t xml:space="preserve">Birth event—additional indication for induction of labour, code N[N]</w:t>
              </w:r>
            </w:hyperlink>
          </w:p>
          <w:p>
            <w:pPr>
              <w:pStyle w:val="registration-status"/>
              <w:spacing w:before="0" w:after="0"/>
            </w:pPr>
            <w:hyperlink w:history="true" r:id="Ra9abd81552c8464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e5b36409baa4823">
              <w:r>
                <w:rPr>
                  <w:rStyle w:val="Hyperlink"/>
                </w:rPr>
                <w:t xml:space="preserve">Birth event—analgesia administered indicator, yes/no/not stated/inadequately described code N</w:t>
              </w:r>
            </w:hyperlink>
          </w:p>
          <w:p>
            <w:pPr>
              <w:pStyle w:val="registration-status"/>
              <w:spacing w:before="0" w:after="0"/>
            </w:pPr>
            <w:hyperlink w:history="true" r:id="R47eea8eabe2d499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09cd76a694d4a84">
              <w:r>
                <w:rPr>
                  <w:rStyle w:val="Hyperlink"/>
                </w:rPr>
                <w:t xml:space="preserve">Birth event—labour induction method, code N[N]</w:t>
              </w:r>
            </w:hyperlink>
          </w:p>
          <w:p>
            <w:pPr>
              <w:pStyle w:val="registration-status"/>
              <w:spacing w:before="0" w:after="0"/>
            </w:pPr>
            <w:hyperlink w:history="true" r:id="Raf1e60d7727446c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7c4d40b9f37f4b66">
              <w:r>
                <w:rPr>
                  <w:rStyle w:val="Hyperlink"/>
                </w:rPr>
                <w:t xml:space="preserve">Birth event—main indication for induction of labour, code N[N]</w:t>
              </w:r>
            </w:hyperlink>
          </w:p>
          <w:p>
            <w:pPr>
              <w:pStyle w:val="registration-status"/>
              <w:spacing w:before="0" w:after="0"/>
            </w:pPr>
            <w:hyperlink w:history="true" r:id="Rf7a43c48266d42c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eec4c20258d4858">
              <w:r>
                <w:rPr>
                  <w:rStyle w:val="Hyperlink"/>
                </w:rPr>
                <w:t xml:space="preserve">Birth event—type of analgesia administered, code N[N]</w:t>
              </w:r>
            </w:hyperlink>
          </w:p>
          <w:p>
            <w:pPr>
              <w:pStyle w:val="registration-status"/>
              <w:spacing w:before="0" w:after="0"/>
            </w:pPr>
            <w:hyperlink w:history="true" r:id="R28ed1985a0f941c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28474b08444c9">
              <w:r>
                <w:rPr>
                  <w:rStyle w:val="Hyperlink"/>
                </w:rPr>
                <w:t xml:space="preserve">Perinatal NMDS 2022–23</w:t>
              </w:r>
            </w:hyperlink>
          </w:p>
          <w:p>
            <w:pPr>
              <w:pStyle w:val="registration-status"/>
              <w:spacing w:before="0" w:after="0"/>
            </w:pPr>
            <w:hyperlink w:history="true" r:id="R5c49513e5f6d4cc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c931fc51641f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6fb96dfe1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1fc51641f4dba" /><Relationship Type="http://schemas.openxmlformats.org/officeDocument/2006/relationships/header" Target="/word/header1.xml" Id="Raff9cfb7639d46ef" /><Relationship Type="http://schemas.openxmlformats.org/officeDocument/2006/relationships/settings" Target="/word/settings.xml" Id="R68b1805c27b84a9b" /><Relationship Type="http://schemas.openxmlformats.org/officeDocument/2006/relationships/styles" Target="/word/styles.xml" Id="R2b423c4a0f6b4e07" /><Relationship Type="http://schemas.openxmlformats.org/officeDocument/2006/relationships/hyperlink" Target="https://meteor-uat.aihw.gov.au/RegistrationAuthority/14" TargetMode="External" Id="R4d4c2f04b4d94998" /><Relationship Type="http://schemas.openxmlformats.org/officeDocument/2006/relationships/hyperlink" Target="https://meteor-uat.aihw.gov.au/content/696197" TargetMode="External" Id="R4e98543e12854615" /><Relationship Type="http://schemas.openxmlformats.org/officeDocument/2006/relationships/hyperlink" Target="https://meteor-uat.aihw.gov.au/content/749929" TargetMode="External" Id="R62f9299237214c21" /><Relationship Type="http://schemas.openxmlformats.org/officeDocument/2006/relationships/hyperlink" Target="https://meteor-uat.aihw.gov.au/content/732387" TargetMode="External" Id="R4153ff74577c4c6a" /><Relationship Type="http://schemas.openxmlformats.org/officeDocument/2006/relationships/hyperlink" Target="https://meteor-uat.aihw.gov.au/content/732344" TargetMode="External" Id="Rf34d142c30ec42d5" /><Relationship Type="http://schemas.openxmlformats.org/officeDocument/2006/relationships/hyperlink" Target="https://meteor-uat.aihw.gov.au/content/732672" TargetMode="External" Id="R83381e3149274418" /><Relationship Type="http://schemas.openxmlformats.org/officeDocument/2006/relationships/hyperlink" Target="https://meteor-uat.aihw.gov.au/content/732344" TargetMode="External" Id="R9515c18f7b57407f" /><Relationship Type="http://schemas.openxmlformats.org/officeDocument/2006/relationships/hyperlink" Target="https://meteor-uat.aihw.gov.au/content/733459" TargetMode="External" Id="R04892b111a674729" /><Relationship Type="http://schemas.openxmlformats.org/officeDocument/2006/relationships/hyperlink" Target="https://meteor-uat.aihw.gov.au/content/733456" TargetMode="External" Id="Rea34f4741de4401a" /><Relationship Type="http://schemas.openxmlformats.org/officeDocument/2006/relationships/hyperlink" Target="https://meteor-uat.aihw.gov.au/content/733459" TargetMode="External" Id="R6cfcade4bd064171" /><Relationship Type="http://schemas.openxmlformats.org/officeDocument/2006/relationships/hyperlink" Target="https://meteor-uat.aihw.gov.au/content/735046" TargetMode="External" Id="Redb2a26e33fc4237" /><Relationship Type="http://schemas.openxmlformats.org/officeDocument/2006/relationships/hyperlink" Target="https://meteor-uat.aihw.gov.au/RegistrationAuthority/14" TargetMode="External" Id="R85579a28cb0c4ca9" /><Relationship Type="http://schemas.openxmlformats.org/officeDocument/2006/relationships/hyperlink" Target="https://meteor-uat.aihw.gov.au/content/733456" TargetMode="External" Id="R4511d0f5be28459d" /><Relationship Type="http://schemas.openxmlformats.org/officeDocument/2006/relationships/hyperlink" Target="https://meteor-uat.aihw.gov.au/RegistrationAuthority/14" TargetMode="External" Id="Ra9abd81552c84649" /><Relationship Type="http://schemas.openxmlformats.org/officeDocument/2006/relationships/hyperlink" Target="https://meteor-uat.aihw.gov.au/content/732344" TargetMode="External" Id="Rfe5b36409baa4823" /><Relationship Type="http://schemas.openxmlformats.org/officeDocument/2006/relationships/hyperlink" Target="https://meteor-uat.aihw.gov.au/RegistrationAuthority/14" TargetMode="External" Id="R47eea8eabe2d4992" /><Relationship Type="http://schemas.openxmlformats.org/officeDocument/2006/relationships/hyperlink" Target="https://meteor-uat.aihw.gov.au/content/732387" TargetMode="External" Id="Rb09cd76a694d4a84" /><Relationship Type="http://schemas.openxmlformats.org/officeDocument/2006/relationships/hyperlink" Target="https://meteor-uat.aihw.gov.au/RegistrationAuthority/14" TargetMode="External" Id="Raf1e60d7727446c5" /><Relationship Type="http://schemas.openxmlformats.org/officeDocument/2006/relationships/hyperlink" Target="https://meteor-uat.aihw.gov.au/content/733459" TargetMode="External" Id="R7c4d40b9f37f4b66" /><Relationship Type="http://schemas.openxmlformats.org/officeDocument/2006/relationships/hyperlink" Target="https://meteor-uat.aihw.gov.au/RegistrationAuthority/14" TargetMode="External" Id="Rf7a43c48266d42c7" /><Relationship Type="http://schemas.openxmlformats.org/officeDocument/2006/relationships/hyperlink" Target="https://meteor-uat.aihw.gov.au/content/749937" TargetMode="External" Id="Raeec4c20258d4858" /><Relationship Type="http://schemas.openxmlformats.org/officeDocument/2006/relationships/hyperlink" Target="https://meteor-uat.aihw.gov.au/RegistrationAuthority/14" TargetMode="External" Id="R28ed1985a0f941c2" /><Relationship Type="http://schemas.openxmlformats.org/officeDocument/2006/relationships/hyperlink" Target="https://meteor-uat.aihw.gov.au/content/742052" TargetMode="External" Id="Rcc028474b08444c9" /><Relationship Type="http://schemas.openxmlformats.org/officeDocument/2006/relationships/hyperlink" Target="https://meteor-uat.aihw.gov.au/RegistrationAuthority/14" TargetMode="External" Id="R5c49513e5f6d4ccd" /></Relationships>
</file>

<file path=word/_rels/header1.xml.rels>&#65279;<?xml version="1.0" encoding="utf-8"?><Relationships xmlns="http://schemas.openxmlformats.org/package/2006/relationships"><Relationship Type="http://schemas.openxmlformats.org/officeDocument/2006/relationships/image" Target="/media/image.png" Id="Re326fb96dfe147e1" /></Relationships>
</file>