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5c6ebd1f114b91"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Edition 3)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6ade81f494ad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d3f6e945c8424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bcd84a15ad4439">
              <w:r>
                <w:rPr>
                  <w:rStyle w:val="Hyperlink"/>
                </w:rPr>
                <w:t xml:space="preserve">Statistical Area Level 2 (SA2) code (ASGS Edition 3)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3f9ac5c59a43a8">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5e5b5eda5dc94a91">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8162ffb974ef4dfa">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a0142d5cd94754">
              <w:r>
                <w:rPr>
                  <w:rStyle w:val="Hyperlink"/>
                </w:rPr>
                <w:t xml:space="preserve">Person—area of usual residence, statistical area level 2 (SA2) code (ASGS 2016) N(9)</w:t>
              </w:r>
            </w:hyperlink>
          </w:p>
          <w:p>
            <w:pPr>
              <w:pStyle w:val="registration-status"/>
              <w:spacing w:before="0" w:after="0"/>
            </w:pPr>
            <w:hyperlink w:history="true" r:id="R26ac17c95e734ff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3a8ad87fbe3140d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4916a2e9cf74a93">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419983d6dc4097">
              <w:r>
                <w:rPr>
                  <w:rStyle w:val="Hyperlink"/>
                </w:rPr>
                <w:t xml:space="preserve">Activity based funding: Mental health care NBEDS 2022–23</w:t>
              </w:r>
            </w:hyperlink>
          </w:p>
          <w:p>
            <w:pPr>
              <w:pStyle w:val="registration-status"/>
              <w:spacing w:before="0" w:after="0"/>
            </w:pPr>
            <w:hyperlink w:history="true" r:id="Radc1361e91ea4ac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4e4561fb84864437">
              <w:r>
                <w:rPr>
                  <w:rStyle w:val="Hyperlink"/>
                </w:rPr>
                <w:t xml:space="preserve">Admitted patient care NMDS 2022–23</w:t>
              </w:r>
            </w:hyperlink>
          </w:p>
          <w:p>
            <w:pPr>
              <w:pStyle w:val="registration-status"/>
              <w:spacing w:before="0" w:after="0"/>
            </w:pPr>
            <w:hyperlink w:history="true" r:id="R48c835016bb3439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44b23725e93149c8">
              <w:r>
                <w:rPr>
                  <w:rStyle w:val="Hyperlink"/>
                </w:rPr>
                <w:t xml:space="preserve">Community mental health care NMDS 2022–23</w:t>
              </w:r>
            </w:hyperlink>
          </w:p>
          <w:p>
            <w:pPr>
              <w:pStyle w:val="registration-status"/>
              <w:spacing w:before="0" w:after="0"/>
            </w:pPr>
            <w:hyperlink w:history="true" r:id="R7654bbb1ba8144f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022580a40830495d">
              <w:r>
                <w:rPr>
                  <w:rStyle w:val="Hyperlink"/>
                </w:rPr>
                <w:t xml:space="preserve">Emergency service care NBEDS 2022–23</w:t>
              </w:r>
            </w:hyperlink>
          </w:p>
          <w:p>
            <w:pPr>
              <w:pStyle w:val="registration-status"/>
              <w:spacing w:before="0" w:after="0"/>
            </w:pPr>
            <w:hyperlink w:history="true" r:id="R5618e19a5cdc4f04">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1cfd158ec9b74072">
              <w:r>
                <w:rPr>
                  <w:rStyle w:val="Hyperlink"/>
                </w:rPr>
                <w:t xml:space="preserve">Non-admitted patient emergency department care NMDS 2022–23</w:t>
              </w:r>
            </w:hyperlink>
          </w:p>
          <w:p>
            <w:pPr>
              <w:pStyle w:val="registration-status"/>
              <w:spacing w:before="0" w:after="0"/>
            </w:pPr>
            <w:hyperlink w:history="true" r:id="R98f6b8acae884778">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8dc3a117fc934409">
              <w:r>
                <w:rPr>
                  <w:rStyle w:val="Hyperlink"/>
                </w:rPr>
                <w:t xml:space="preserve">Non-admitted patient NBEDS 2022–23</w:t>
              </w:r>
            </w:hyperlink>
          </w:p>
          <w:p>
            <w:pPr>
              <w:pStyle w:val="registration-status"/>
              <w:spacing w:before="0" w:after="0"/>
            </w:pPr>
            <w:hyperlink w:history="true" r:id="R0c1a50d42775431e">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c67c0601df114678">
              <w:r>
                <w:rPr>
                  <w:rStyle w:val="Hyperlink"/>
                </w:rPr>
                <w:t xml:space="preserve">Perinatal NMDS 2022–23</w:t>
              </w:r>
            </w:hyperlink>
          </w:p>
          <w:p>
            <w:pPr>
              <w:pStyle w:val="registration-status"/>
              <w:spacing w:before="0" w:after="0"/>
            </w:pPr>
            <w:hyperlink w:history="true" r:id="R9aeb5846cc5b4415">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pStyle w:val="registration-status"/>
              <w:spacing w:before="0" w:after="0"/>
            </w:pPr>
            <w:hyperlink w:history="true" r:id="R81bd8e5ebecb4568">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450" w:type="pct"/>
                  <w:vAlign w:val="top"/>
                </w:tcPr>
                <w:p>
                  <w:r>
                    <w:t xml:space="preserve">STATE_NAME_2016</w:t>
                  </w:r>
                </w:p>
              </w:tc>
              <w:tc>
                <w:tcPr>
                  <w:tcW w:w="950" w:type="pct"/>
                  <w:vAlign w:val="top"/>
                </w:tcPr>
                <w:p>
                  <w:r>
                    <w:t xml:space="preserve">Not applicable</w:t>
                  </w:r>
                  <w:r>
                    <w:t xml:space="preserv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br/>
            </w:r>
            <w:r>
              <w:br/>
            </w:r>
          </w:p>
        </w:tc>
      </w:tr>
    </w:tbl>
    <w:p/>
    <w:tbl>
      <w:tblPr>
        <w:tblStyle w:val="TableGrid"/>
        <w:tblW w:w="0" w:type="auto"/>
      </w:tblPr>
    </w:tbl>
    <w:p>
      <w:r>
        <w:br/>
      </w:r>
    </w:p>
    <w:sectPr>
      <w:footerReference xmlns:r="http://schemas.openxmlformats.org/officeDocument/2006/relationships" w:type="default" r:id="R9d71078ee47c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2b32be9bc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1078ee47c4e86" /><Relationship Type="http://schemas.openxmlformats.org/officeDocument/2006/relationships/header" Target="/word/header1.xml" Id="Rdd1ce2688e3840f8" /><Relationship Type="http://schemas.openxmlformats.org/officeDocument/2006/relationships/settings" Target="/word/settings.xml" Id="R604bd3679027496d" /><Relationship Type="http://schemas.openxmlformats.org/officeDocument/2006/relationships/styles" Target="/word/styles.xml" Id="Rdd7dee6548bf46f5" /><Relationship Type="http://schemas.openxmlformats.org/officeDocument/2006/relationships/numbering" Target="/word/numbering.xml" Id="Rbe918a9045c54611" /><Relationship Type="http://schemas.openxmlformats.org/officeDocument/2006/relationships/hyperlink" Target="https://meteor-uat.aihw.gov.au/content/742165" TargetMode="External" Id="R25e3f47ea5004336" /><Relationship Type="http://schemas.openxmlformats.org/officeDocument/2006/relationships/hyperlink" Target="https://meteor-uat.aihw.gov.au/RegistrationAuthority/14" TargetMode="External" Id="Rdee6ade81f494ad4" /><Relationship Type="http://schemas.openxmlformats.org/officeDocument/2006/relationships/hyperlink" Target="https://meteor-uat.aihw.gov.au/content/269542" TargetMode="External" Id="Raed3f6e945c84246" /><Relationship Type="http://schemas.openxmlformats.org/officeDocument/2006/relationships/hyperlink" Target="https://meteor-uat.aihw.gov.au/content/747275" TargetMode="External" Id="R3fbcd84a15ad4439" /><Relationship Type="http://schemas.openxmlformats.org/officeDocument/2006/relationships/hyperlink" Target="https://meteor-uat.aihw.gov.au/content/747163" TargetMode="External" Id="Rd43f9ac5c59a43a8"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5e5b5eda5dc94a91"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8162ffb974ef4dfa" /><Relationship Type="http://schemas.openxmlformats.org/officeDocument/2006/relationships/hyperlink" Target="https://meteor-uat.aihw.gov.au/content/659725" TargetMode="External" Id="Reda0142d5cd94754" /><Relationship Type="http://schemas.openxmlformats.org/officeDocument/2006/relationships/hyperlink" Target="https://meteor-uat.aihw.gov.au/RegistrationAuthority/15" TargetMode="External" Id="R26ac17c95e734ff4" /><Relationship Type="http://schemas.openxmlformats.org/officeDocument/2006/relationships/hyperlink" Target="https://meteor-uat.aihw.gov.au/RegistrationAuthority/14" TargetMode="External" Id="R3a8ad87fbe3140d7" /><Relationship Type="http://schemas.openxmlformats.org/officeDocument/2006/relationships/hyperlink" Target="https://meteor-uat.aihw.gov.au/RegistrationAuthority/17" TargetMode="External" Id="Rb4916a2e9cf74a93" /><Relationship Type="http://schemas.openxmlformats.org/officeDocument/2006/relationships/hyperlink" Target="https://meteor-uat.aihw.gov.au/content/742188" TargetMode="External" Id="Re8419983d6dc4097" /><Relationship Type="http://schemas.openxmlformats.org/officeDocument/2006/relationships/hyperlink" Target="https://meteor-uat.aihw.gov.au/RegistrationAuthority/14" TargetMode="External" Id="Radc1361e91ea4ace" /><Relationship Type="http://schemas.openxmlformats.org/officeDocument/2006/relationships/hyperlink" Target="https://meteor-uat.aihw.gov.au/content/742173" TargetMode="External" Id="R4e4561fb84864437" /><Relationship Type="http://schemas.openxmlformats.org/officeDocument/2006/relationships/hyperlink" Target="https://meteor-uat.aihw.gov.au/RegistrationAuthority/14" TargetMode="External" Id="R48c835016bb34392" /><Relationship Type="http://schemas.openxmlformats.org/officeDocument/2006/relationships/hyperlink" Target="https://meteor-uat.aihw.gov.au/content/742040" TargetMode="External" Id="R44b23725e93149c8" /><Relationship Type="http://schemas.openxmlformats.org/officeDocument/2006/relationships/hyperlink" Target="https://meteor-uat.aihw.gov.au/RegistrationAuthority/14" TargetMode="External" Id="R7654bbb1ba8144f6" /><Relationship Type="http://schemas.openxmlformats.org/officeDocument/2006/relationships/hyperlink" Target="https://meteor-uat.aihw.gov.au/content/742180" TargetMode="External" Id="R022580a40830495d" /><Relationship Type="http://schemas.openxmlformats.org/officeDocument/2006/relationships/hyperlink" Target="https://meteor-uat.aihw.gov.au/RegistrationAuthority/14" TargetMode="External" Id="R5618e19a5cdc4f04" /><Relationship Type="http://schemas.openxmlformats.org/officeDocument/2006/relationships/hyperlink" Target="https://meteor-uat.aihw.gov.au/content/742184" TargetMode="External" Id="R1cfd158ec9b74072" /><Relationship Type="http://schemas.openxmlformats.org/officeDocument/2006/relationships/hyperlink" Target="https://meteor-uat.aihw.gov.au/RegistrationAuthority/14" TargetMode="External" Id="R98f6b8acae884778" /><Relationship Type="http://schemas.openxmlformats.org/officeDocument/2006/relationships/hyperlink" Target="https://meteor-uat.aihw.gov.au/content/742186" TargetMode="External" Id="R8dc3a117fc934409" /><Relationship Type="http://schemas.openxmlformats.org/officeDocument/2006/relationships/hyperlink" Target="https://meteor-uat.aihw.gov.au/RegistrationAuthority/14" TargetMode="External" Id="R0c1a50d42775431e" /><Relationship Type="http://schemas.openxmlformats.org/officeDocument/2006/relationships/hyperlink" Target="https://meteor-uat.aihw.gov.au/content/742052" TargetMode="External" Id="Rc67c0601df114678" /><Relationship Type="http://schemas.openxmlformats.org/officeDocument/2006/relationships/hyperlink" Target="https://meteor-uat.aihw.gov.au/RegistrationAuthority/14" TargetMode="External" Id="R9aeb5846cc5b4415" /><Relationship Type="http://schemas.openxmlformats.org/officeDocument/2006/relationships/hyperlink" Target="https://meteor-uat.aihw.gov.au/RegistrationAuthority/14" TargetMode="External" Id="R81bd8e5ebecb4568" /></Relationships>
</file>

<file path=word/_rels/header1.xml.rels>&#65279;<?xml version="1.0" encoding="utf-8"?><Relationships xmlns="http://schemas.openxmlformats.org/package/2006/relationships"><Relationship Type="http://schemas.openxmlformats.org/officeDocument/2006/relationships/image" Target="/media/image.png" Id="R6e32b32be9bc4484" /></Relationships>
</file>