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e927a1817f4a2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care—intervention, code (ACHI 12th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care—intervention, code (ACHI 12th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Clinical intervention; Procedure; Surgical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67f9158e0340f2">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34f77f8d14934c83">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admitted patient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244bbb1671410e">
              <w:r>
                <w:rPr>
                  <w:rStyle w:val="Hyperlink"/>
                </w:rPr>
                <w:t xml:space="preserve">Episode of admitted patient care—intervention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4b892038b34b79">
              <w:r>
                <w:rPr>
                  <w:rStyle w:val="Hyperlink"/>
                </w:rPr>
                <w:t xml:space="preserve">Intervention code (ACHI 12th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3f0fcaeb8b84405">
              <w:r>
                <w:rPr>
                  <w:rStyle w:val="Hyperlink"/>
                </w:rPr>
                <w:t xml:space="preserve">Australian Classification of Health Interventions (ACHI) 12th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Interventions are classified from, and must be substantiated by, clinical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4c89653eaa431b">
              <w:r>
                <w:rPr>
                  <w:rStyle w:val="Hyperlink"/>
                </w:rPr>
                <w:t xml:space="preserve">Episode of admitted patient care—procedure, code (ACHI 11th edn) NNNNN-NN</w:t>
              </w:r>
            </w:hyperlink>
          </w:p>
          <w:p>
            <w:pPr>
              <w:pStyle w:val="registration-status"/>
              <w:spacing w:before="0" w:after="0"/>
            </w:pPr>
            <w:hyperlink w:history="true" r:id="Rc61e7fe7c3fe436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3312107401fe4214">
              <w:r>
                <w:rPr>
                  <w:rStyle w:val="Hyperlink"/>
                  <w:color w:val="244061"/>
                </w:rPr>
                <w:t xml:space="preserve">Tasmanian Health</w:t>
              </w:r>
            </w:hyperlink>
            <w:r>
              <w:rPr>
                <w:rStyle w:val="row-content"/>
                <w:color w:val="244061"/>
              </w:rPr>
              <w:t xml:space="preserve">, Standard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938b4413d24b94">
              <w:r>
                <w:rPr>
                  <w:rStyle w:val="Hyperlink"/>
                </w:rPr>
                <w:t xml:space="preserve">Admitted patient care NMDS 2022–23</w:t>
              </w:r>
            </w:hyperlink>
          </w:p>
          <w:p>
            <w:pPr>
              <w:pStyle w:val="registration-status"/>
              <w:spacing w:before="0" w:after="0"/>
            </w:pPr>
            <w:hyperlink w:history="true" r:id="R2f2671c099524b73">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reported if a health intervention is performed in the episode of care.</w:t>
            </w:r>
          </w:p>
          <w:p>
            <w:r>
              <w:br/>
            </w:r>
            <w:r>
              <w:rPr>
                <w:rStyle w:val="row-content"/>
                <w:b/>
                <w:i/>
              </w:rPr>
              <w:t xml:space="preserve">DSS specific information: </w:t>
            </w:r>
          </w:p>
          <w:p>
            <w:r>
              <w:rPr>
                <w:rStyle w:val="row-content"/>
              </w:rP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rPr>
                <w:rStyle w:val="row-content"/>
              </w:rPr>
              <w:t xml:space="preserve">An unlimited number of diagnosis and intervention codes should be able to be collected in hospital morbidity systems. Where this is not possible, a minimum of 20 codes should be able to be collected.</w:t>
            </w:r>
          </w:p>
          <w:p>
            <w:r>
              <w:rPr>
                <w:rStyle w:val="row-content"/>
              </w:rPr>
              <w:t xml:space="preserve">Classify interventions undertaken during an episode of care in accordance with the relevant Australian Coding Standards and National Coding Rules.</w:t>
            </w:r>
          </w:p>
          <w:p>
            <w:r>
              <w:rPr>
                <w:rStyle w:val="row-content"/>
              </w:rPr>
              <w:t xml:space="preserve">The order of codes should be determined using the following hierarchy:</w:t>
            </w:r>
          </w:p>
          <w:p>
            <w:pPr>
              <w:pStyle w:val="ListParagraph"/>
              <w:numPr>
                <w:ilvl w:val="0"/>
                <w:numId w:val="3"/>
              </w:numPr>
            </w:pPr>
            <w:r>
              <w:rPr>
                <w:rStyle w:val="row-content"/>
              </w:rPr>
              <w:t xml:space="preserve">intervention(s) performed for treatment of the principal diagnosis</w:t>
            </w:r>
          </w:p>
          <w:p>
            <w:pPr>
              <w:pStyle w:val="ListParagraph"/>
              <w:numPr>
                <w:ilvl w:val="0"/>
                <w:numId w:val="3"/>
              </w:numPr>
            </w:pPr>
            <w:r>
              <w:rPr>
                <w:rStyle w:val="row-content"/>
              </w:rPr>
              <w:t xml:space="preserve">intervention(s) performed for the treatment of an additional diagnosis</w:t>
            </w:r>
          </w:p>
          <w:p>
            <w:pPr>
              <w:pStyle w:val="ListParagraph"/>
              <w:numPr>
                <w:ilvl w:val="0"/>
                <w:numId w:val="3"/>
              </w:numPr>
            </w:pPr>
            <w:r>
              <w:rPr>
                <w:rStyle w:val="row-content"/>
              </w:rPr>
              <w:t xml:space="preserve">diagnostic/exploratory intervention(s) related to the principal diagnosis</w:t>
            </w:r>
          </w:p>
          <w:p>
            <w:pPr>
              <w:pStyle w:val="ListParagraph"/>
              <w:numPr>
                <w:ilvl w:val="0"/>
                <w:numId w:val="3"/>
              </w:numPr>
            </w:pPr>
            <w:r>
              <w:rPr>
                <w:rStyle w:val="row-content"/>
              </w:rPr>
              <w:t xml:space="preserve">diagnostic/exploratory intervention(s) related to an additional diagnosis.</w:t>
            </w:r>
          </w:p>
          <w:p>
            <w:r>
              <w:br/>
            </w:r>
            <w:r>
              <w:br/>
            </w:r>
          </w:p>
        </w:tc>
      </w:tr>
    </w:tbl>
    <w:p/>
    <w:tbl>
      <w:tblPr>
        <w:tblStyle w:val="TableGrid"/>
        <w:tblW w:w="0" w:type="auto"/>
      </w:tblPr>
    </w:tbl>
    <w:p>
      <w:r>
        <w:br/>
      </w:r>
    </w:p>
    <w:sectPr>
      <w:footerReference xmlns:r="http://schemas.openxmlformats.org/officeDocument/2006/relationships" w:type="default" r:id="R22a070ae422145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beb1d92f5f44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a070ae42214564" /><Relationship Type="http://schemas.openxmlformats.org/officeDocument/2006/relationships/header" Target="/word/header1.xml" Id="Rd811248693314dad" /><Relationship Type="http://schemas.openxmlformats.org/officeDocument/2006/relationships/settings" Target="/word/settings.xml" Id="R01f2f7165ff04d78" /><Relationship Type="http://schemas.openxmlformats.org/officeDocument/2006/relationships/styles" Target="/word/styles.xml" Id="R1df4689ccd0f4014" /><Relationship Type="http://schemas.openxmlformats.org/officeDocument/2006/relationships/numbering" Target="/word/numbering.xml" Id="R03625cbd78524def" /><Relationship Type="http://schemas.openxmlformats.org/officeDocument/2006/relationships/hyperlink" Target="https://meteor-uat.aihw.gov.au/RegistrationAuthority/14" TargetMode="External" Id="R4e67f9158e0340f2" /><Relationship Type="http://schemas.openxmlformats.org/officeDocument/2006/relationships/hyperlink" Target="https://meteor-uat.aihw.gov.au/content/327220" TargetMode="External" Id="R34f77f8d14934c83" /><Relationship Type="http://schemas.openxmlformats.org/officeDocument/2006/relationships/hyperlink" Target="https://meteor-uat.aihw.gov.au/content/746719" TargetMode="External" Id="R4e244bbb1671410e" /><Relationship Type="http://schemas.openxmlformats.org/officeDocument/2006/relationships/hyperlink" Target="https://meteor-uat.aihw.gov.au/content/746678" TargetMode="External" Id="Re34b892038b34b79" /><Relationship Type="http://schemas.openxmlformats.org/officeDocument/2006/relationships/hyperlink" Target="https://meteor-uat.aihw.gov.au/content/746653" TargetMode="External" Id="R03f0fcaeb8b84405" /><Relationship Type="http://schemas.openxmlformats.org/officeDocument/2006/relationships/hyperlink" Target="https://meteor-uat.aihw.gov.au/content/699716" TargetMode="External" Id="Re14c89653eaa431b" /><Relationship Type="http://schemas.openxmlformats.org/officeDocument/2006/relationships/hyperlink" Target="https://meteor-uat.aihw.gov.au/RegistrationAuthority/14" TargetMode="External" Id="Rc61e7fe7c3fe4366" /><Relationship Type="http://schemas.openxmlformats.org/officeDocument/2006/relationships/hyperlink" Target="https://meteor-uat.aihw.gov.au/RegistrationAuthority/17" TargetMode="External" Id="R3312107401fe4214" /><Relationship Type="http://schemas.openxmlformats.org/officeDocument/2006/relationships/hyperlink" Target="https://meteor-uat.aihw.gov.au/content/742173" TargetMode="External" Id="R66938b4413d24b94" /><Relationship Type="http://schemas.openxmlformats.org/officeDocument/2006/relationships/hyperlink" Target="https://meteor-uat.aihw.gov.au/RegistrationAuthority/14" TargetMode="External" Id="R2f2671c099524b73" /></Relationships>
</file>

<file path=word/_rels/header1.xml.rels>&#65279;<?xml version="1.0" encoding="utf-8"?><Relationships xmlns="http://schemas.openxmlformats.org/package/2006/relationships"><Relationship Type="http://schemas.openxmlformats.org/officeDocument/2006/relationships/image" Target="/media/image.png" Id="Rf9beb1d92f5f4464" /></Relationships>
</file>