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038aaab234ec0"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8b-Proportion of patients aged 65 years or older or 45 years or older for Aboriginal and Torres Strait Islander people who experienced delirium in hospital and were readmitted for delirium within 10 days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8b-Proportion of patients aged 65 years or older or 45 years or older for Aboriginal and Torres Strait Islander people who experienced delirium in hospital and were readmitted for delirium within 10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76d7e65864b1d">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48ab7ad1d8469d">
              <w:r>
                <w:rPr>
                  <w:rStyle w:val="Hyperlink"/>
                </w:rPr>
                <w:t xml:space="preserve">Clinical care standard indicators: delirium 2021</w:t>
              </w:r>
            </w:hyperlink>
          </w:p>
          <w:p>
            <w:pPr>
              <w:pStyle w:val="registration-status"/>
              <w:spacing w:before="0" w:after="0"/>
            </w:pPr>
            <w:hyperlink w:history="true" r:id="R9178df0bbc4447df">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older, or 45 years or older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469de9c9adbc419f">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 Exclude separations where </w:t>
            </w:r>
            <w:hyperlink w:history="true" r:id="R8b75c5a331d94b57">
              <w:r>
                <w:rPr>
                  <w:rStyle w:val="Hyperlink"/>
                </w:rPr>
                <w:t xml:space="preserve">Episode of admitted patient care—separation mode, code NN</w:t>
              </w:r>
            </w:hyperlink>
            <w:r>
              <w:rPr>
                <w:rStyle w:val="row-content-rich-text"/>
              </w:rPr>
              <w:t xml:space="preserve"> corresponds to </w:t>
            </w:r>
            <w:r>
              <w:rPr>
                <w:rStyle w:val="row-content-rich-text"/>
                <w:i/>
              </w:rPr>
              <w:t xml:space="preserve">Died. </w:t>
            </w:r>
            <w:r>
              <w:rPr>
                <w:rStyle w:val="row-content-rich-text"/>
              </w:rPr>
              <w:t xml:space="preserve">Where possible, exclude patients who died within 10 days of discharge following the initial episode of care.</w:t>
            </w:r>
          </w:p>
          <w:p>
            <w:pPr>
              <w:spacing w:after="160"/>
            </w:pPr>
            <w:r>
              <w:rPr>
                <w:rStyle w:val="row-content-rich-text"/>
              </w:rPr>
              <w:t xml:space="preserve">For the numerator include patients with current or resolved delirium who are readmitted to hospital for delirium within 10 days following discharge from the initial episode of care during which the delirium was diagnosed.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this indicator should include readmissions to any hospital. This relies on linked data and/or the use of a unique identifier, preferably across a geographic region where patients are likely to be readmitted (for example, a </w:t>
            </w: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57b45a37046f4e72">
              <w:r>
                <w:rPr>
                  <w:rStyle w:val="Hyperlink"/>
                  <w:b/>
                </w:rPr>
                <w:t xml:space="preserve">Local Hospital Network</w:t>
              </w:r>
            </w:hyperlink>
            <w:r>
              <w:rPr>
                <w:rStyle w:val="row-content-rich-text"/>
              </w:rPr>
              <w:t xml:space="preserve">).</w:t>
            </w:r>
          </w:p>
          <w:p>
            <w:pPr>
              <w:spacing w:after="160"/>
            </w:pPr>
            <w:r>
              <w:rPr>
                <w:rStyle w:val="row-content-rich-text"/>
              </w:rPr>
              <w:t xml:space="preserve">Excluding patients who died within 10 days of discharge may require linked death data.</w:t>
            </w:r>
          </w:p>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Wong K, Tsang A, Liu B &amp; Schwartz R. The Ontario Senior Friendly Hospital Strategy Delirium and Functional Decline Indicators. Toronto: Ontario Local Health Integration Network; 2012.</w:t>
            </w:r>
          </w:p>
          <w:p>
            <w:pPr/>
            <w:r>
              <w:rPr>
                <w:rStyle w:val="row-content-rich-text"/>
              </w:rPr>
              <w:t xml:space="preserve"> </w:t>
            </w:r>
          </w:p>
        </w:tc>
      </w:tr>
    </w:tbl>
    <w:p>
      <w:r>
        <w:br/>
      </w:r>
    </w:p>
    <w:sectPr>
      <w:footerReference xmlns:r="http://schemas.openxmlformats.org/officeDocument/2006/relationships" w:type="default" r:id="Ra1b980ddf6c1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cdb148ba9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980ddf6c14426" /><Relationship Type="http://schemas.openxmlformats.org/officeDocument/2006/relationships/header" Target="/word/header1.xml" Id="R947d01f69b1544cf" /><Relationship Type="http://schemas.openxmlformats.org/officeDocument/2006/relationships/settings" Target="/word/settings.xml" Id="R3916f7822b3f417e" /><Relationship Type="http://schemas.openxmlformats.org/officeDocument/2006/relationships/styles" Target="/word/styles.xml" Id="R13a3f183df764f3b" /><Relationship Type="http://schemas.openxmlformats.org/officeDocument/2006/relationships/hyperlink" Target="https://meteor-uat.aihw.gov.au/RegistrationAuthority/2" TargetMode="External" Id="Rd1476d7e65864b1d" /><Relationship Type="http://schemas.openxmlformats.org/officeDocument/2006/relationships/hyperlink" Target="https://meteor-uat.aihw.gov.au/content/745804" TargetMode="External" Id="R1d48ab7ad1d8469d" /><Relationship Type="http://schemas.openxmlformats.org/officeDocument/2006/relationships/hyperlink" Target="https://meteor-uat.aihw.gov.au/RegistrationAuthority/2" TargetMode="External" Id="R9178df0bbc4447df" /><Relationship Type="http://schemas.openxmlformats.org/officeDocument/2006/relationships/hyperlink" Target="https://www.safetyandquality.gov.au/publications-and-resources/resource-library/hospital-acquired-complications-hacs-list-specifications-version-31" TargetMode="External" Id="R469de9c9adbc419f" /><Relationship Type="http://schemas.openxmlformats.org/officeDocument/2006/relationships/hyperlink" Target="https://meteor-uat.aihw.gov.au/content/722644" TargetMode="External" Id="R8b75c5a331d94b57" /><Relationship Type="http://schemas.openxmlformats.org/officeDocument/2006/relationships/hyperlink" Target="https://meteor-uat.aihw.gov.au/content/491016" TargetMode="External" Id="R57b45a37046f4e72" /></Relationships>
</file>

<file path=word/_rels/header1.xml.rels>&#65279;<?xml version="1.0" encoding="utf-8"?><Relationships xmlns="http://schemas.openxmlformats.org/package/2006/relationships"><Relationship Type="http://schemas.openxmlformats.org/officeDocument/2006/relationships/image" Target="/media/image.png" Id="R5c2cdb148ba94982" /></Relationships>
</file>