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7247874b94c82"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5b-Proportion of patients with delirium who received multicomponent interventions to treat and manage delirium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5b-Proportion of patients with delirium who received multicomponent interventions to treat and manage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5b-Proportion of patients with delirium who received multicomponent interventions to treat and manage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eadb8b0724bd4">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received multicomponent interventions to treat and manage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874e92db334114">
              <w:r>
                <w:rPr>
                  <w:rStyle w:val="Hyperlink"/>
                </w:rPr>
                <w:t xml:space="preserve">Clinical care standard indicators: delirium 2021</w:t>
              </w:r>
            </w:hyperlink>
          </w:p>
          <w:p>
            <w:pPr>
              <w:pStyle w:val="registration-status"/>
              <w:spacing w:before="0" w:after="0"/>
            </w:pPr>
            <w:hyperlink w:history="true" r:id="R1213c20343324091">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f4837c17928a4109">
              <w:r>
                <w:rPr>
                  <w:rStyle w:val="Hyperlink"/>
                </w:rPr>
                <w:t xml:space="preserve">Hospital-Acquired Complications (HACs) List - Specifications</w:t>
              </w:r>
            </w:hyperlink>
            <w:r>
              <w:rPr>
                <w:rStyle w:val="row-content-rich-text"/>
              </w:rPr>
              <w:t xml:space="preserve">, worksheet 1, </w:t>
            </w:r>
            <w:r>
              <w:rPr>
                <w:rStyle w:val="row-content-rich-text"/>
                <w:i/>
              </w:rPr>
              <w:t xml:space="preserve"> </w:t>
            </w:r>
            <w:r>
              <w:rPr>
                <w:rStyle w:val="row-content-rich-text"/>
              </w:rPr>
              <w:t xml:space="preserve">where complication group = </w:t>
            </w:r>
            <w:r>
              <w:rPr>
                <w:rStyle w:val="row-content-rich-text"/>
                <w:i/>
              </w:rPr>
              <w:t xml:space="preserve">11. Delirium.</w:t>
            </w:r>
          </w:p>
          <w:p>
            <w:pPr>
              <w:spacing w:after="160"/>
            </w:pPr>
            <w:r>
              <w:rPr>
                <w:rStyle w:val="row-content-rich-text"/>
              </w:rPr>
              <w:t xml:space="preserve">For the numerator, the multicomponent interventions to treat and manage delirium must be documented in the patient's medical record and include tailored interventions to treat any identified cause/s of delirium.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who received multicomponent interventions to treat and manage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Wong K, Tsang A, Liu B &amp; Schwartz R. The Ontario Senior Friendly Hospital Strategy Delirium and Functional Decline Indicators. Toronto: Ontario Local Health Integration Network; 2012.</w:t>
            </w:r>
          </w:p>
        </w:tc>
      </w:tr>
    </w:tbl>
    <w:p>
      <w:r>
        <w:br/>
      </w:r>
    </w:p>
    <w:sectPr>
      <w:footerReference xmlns:r="http://schemas.openxmlformats.org/officeDocument/2006/relationships" w:type="default" r:id="R1650ea476c2b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80d26481040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0ea476c2b4ad6" /><Relationship Type="http://schemas.openxmlformats.org/officeDocument/2006/relationships/header" Target="/word/header1.xml" Id="R9339e7bbb27045b0" /><Relationship Type="http://schemas.openxmlformats.org/officeDocument/2006/relationships/settings" Target="/word/settings.xml" Id="Rd2870c167cee42ad" /><Relationship Type="http://schemas.openxmlformats.org/officeDocument/2006/relationships/styles" Target="/word/styles.xml" Id="R2647f7e1e0634558" /><Relationship Type="http://schemas.openxmlformats.org/officeDocument/2006/relationships/hyperlink" Target="https://meteor-uat.aihw.gov.au/RegistrationAuthority/2" TargetMode="External" Id="R08eeadb8b0724bd4" /><Relationship Type="http://schemas.openxmlformats.org/officeDocument/2006/relationships/hyperlink" Target="https://meteor-uat.aihw.gov.au/content/745804" TargetMode="External" Id="R7b874e92db334114" /><Relationship Type="http://schemas.openxmlformats.org/officeDocument/2006/relationships/hyperlink" Target="https://meteor-uat.aihw.gov.au/RegistrationAuthority/2" TargetMode="External" Id="R1213c20343324091" /><Relationship Type="http://schemas.openxmlformats.org/officeDocument/2006/relationships/hyperlink" Target="https://www.safetyandquality.gov.au/publications-and-resources/resource-library/hospital-acquired-complications-hacs-list-specifications-version-31" TargetMode="External" Id="Rf4837c17928a4109" /></Relationships>
</file>

<file path=word/_rels/header1.xml.rels>&#65279;<?xml version="1.0" encoding="utf-8"?><Relationships xmlns="http://schemas.openxmlformats.org/package/2006/relationships"><Relationship Type="http://schemas.openxmlformats.org/officeDocument/2006/relationships/image" Target="/media/image.png" Id="R69380d2648104030" /></Relationships>
</file>