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02bfd8dd584e8b"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5a- Proportion of patients with delirium who had a comprehensive assessment that includes relevant multidisciplinary consultation to investigate the cause(s) of delirium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5a- Proportion of patients with delirium who had a comprehensive assessment that includes relevant multidisciplinary consultation to investigate the cause(s) of delirium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 Proportion of patients with delirium who had a comprehensive assessment that includes relevant multidisciplinary consultation to investigate the cause(s) of delirium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c0fb1e2aa44ff">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had a comprehensive assessment that includes relevant multidisciplinary consultation to investigate the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a95774ebfe4708">
              <w:r>
                <w:rPr>
                  <w:rStyle w:val="Hyperlink"/>
                </w:rPr>
                <w:t xml:space="preserve">Clinical care standard indicators: delirium 2021</w:t>
              </w:r>
            </w:hyperlink>
          </w:p>
          <w:p>
            <w:pPr>
              <w:pStyle w:val="registration-status"/>
              <w:spacing w:before="0" w:after="0"/>
            </w:pPr>
            <w:hyperlink w:history="true" r:id="R450d65944a494865">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1434aa82581a40a2">
              <w:r>
                <w:rPr>
                  <w:rStyle w:val="Hyperlink"/>
                </w:rPr>
                <w:t xml:space="preserve">Hospital-Acquired Complications (HACs) List - Specifications</w:t>
              </w:r>
            </w:hyperlink>
            <w:r>
              <w:rPr>
                <w:rStyle w:val="row-content-rich-text"/>
              </w:rPr>
              <w:t xml:space="preserve">, worksheet 1,</w:t>
            </w:r>
            <w:r>
              <w:rPr>
                <w:rStyle w:val="row-content-rich-text"/>
                <w:i/>
              </w:rPr>
              <w:t xml:space="preserve"> </w:t>
            </w:r>
            <w:r>
              <w:rPr>
                <w:rStyle w:val="row-content-rich-text"/>
              </w:rPr>
              <w:t xml:space="preserve">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The numerator includes patients with delirium for whom a comprehensive assessment was undertaken, in consultation with the patient and their family or carer where appropriate, to investigate the cause(s) of their delirium.</w:t>
            </w:r>
          </w:p>
          <w:p>
            <w:pPr>
              <w:spacing w:after="160"/>
            </w:pPr>
            <w:r>
              <w:rPr>
                <w:rStyle w:val="row-content-rich-text"/>
              </w:rPr>
              <w:t xml:space="preserve">To be included in the numerator, the comprehensive assessment must include multidisciplinary consultation, undertaken during the hospital stay, be documented in the patient’s medical record, and include all of the following (ACSQHC, 2021):</w:t>
            </w:r>
          </w:p>
          <w:p>
            <w:pPr>
              <w:pStyle w:val="ListParagraph"/>
              <w:numPr>
                <w:ilvl w:val="0"/>
                <w:numId w:val="2"/>
              </w:numPr>
            </w:pPr>
            <w:r>
              <w:rPr>
                <w:rStyle w:val="row-content-rich-text"/>
              </w:rPr>
              <w:t xml:space="preserve">A medical and social history — paying close attention to  the patient’s medication history and their pain management needs, and their hydration and nutritional status</w:t>
            </w:r>
          </w:p>
          <w:p>
            <w:pPr>
              <w:pStyle w:val="ListParagraph"/>
              <w:numPr>
                <w:ilvl w:val="0"/>
                <w:numId w:val="2"/>
              </w:numPr>
            </w:pPr>
            <w:r>
              <w:rPr>
                <w:rStyle w:val="row-content-rich-text"/>
              </w:rPr>
              <w:t xml:space="preserve">A physical examination, and</w:t>
            </w:r>
          </w:p>
          <w:p>
            <w:pPr>
              <w:pStyle w:val="ListParagraph"/>
              <w:numPr>
                <w:ilvl w:val="0"/>
                <w:numId w:val="2"/>
              </w:numPr>
            </w:pPr>
            <w:r>
              <w:rPr>
                <w:rStyle w:val="row-content-rich-text"/>
              </w:rPr>
              <w:t xml:space="preserve">Investigations (blood tests, urine tests, etc.), informed by the patient’s medical history and physical examination. </w:t>
            </w:r>
          </w:p>
          <w:p>
            <w:pPr>
              <w:spacing w:after="160"/>
            </w:pPr>
            <w:r>
              <w:rPr>
                <w:rStyle w:val="row-content-rich-text"/>
              </w:rPr>
              <w:t xml:space="preserve">‘Multidisciplinary’ means the assessment includes consultations with clinicians from more than one discipline. These consultations can be in person or via telehealth.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had a comprehensive assessment that includes relevant multidisciplinary consultation to investigate the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 </w:t>
            </w:r>
          </w:p>
        </w:tc>
      </w:tr>
    </w:tbl>
    <w:p>
      <w:r>
        <w:br/>
      </w:r>
    </w:p>
    <w:sectPr>
      <w:footerReference xmlns:r="http://schemas.openxmlformats.org/officeDocument/2006/relationships" w:type="default" r:id="R29291925d770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6d8a630b9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91925d770441b" /><Relationship Type="http://schemas.openxmlformats.org/officeDocument/2006/relationships/header" Target="/word/header1.xml" Id="R1ac8f4c948724dd4" /><Relationship Type="http://schemas.openxmlformats.org/officeDocument/2006/relationships/settings" Target="/word/settings.xml" Id="Rf34efced7d5344e7" /><Relationship Type="http://schemas.openxmlformats.org/officeDocument/2006/relationships/styles" Target="/word/styles.xml" Id="R59aa9387296f4a01" /><Relationship Type="http://schemas.openxmlformats.org/officeDocument/2006/relationships/numbering" Target="/word/numbering.xml" Id="R1df84966d85940c5" /><Relationship Type="http://schemas.openxmlformats.org/officeDocument/2006/relationships/hyperlink" Target="https://meteor-uat.aihw.gov.au/RegistrationAuthority/2" TargetMode="External" Id="Rfebc0fb1e2aa44ff" /><Relationship Type="http://schemas.openxmlformats.org/officeDocument/2006/relationships/hyperlink" Target="https://meteor-uat.aihw.gov.au/content/745804" TargetMode="External" Id="R43a95774ebfe4708" /><Relationship Type="http://schemas.openxmlformats.org/officeDocument/2006/relationships/hyperlink" Target="https://meteor-uat.aihw.gov.au/RegistrationAuthority/2" TargetMode="External" Id="R450d65944a494865" /><Relationship Type="http://schemas.openxmlformats.org/officeDocument/2006/relationships/hyperlink" Target="https://www.safetyandquality.gov.au/publications-and-resources/resource-library/hospital-acquired-complications-hacs-list-specifications-version-31" TargetMode="External" Id="R1434aa82581a40a2" /></Relationships>
</file>

<file path=word/_rels/header1.xml.rels>&#65279;<?xml version="1.0" encoding="utf-8"?><Relationships xmlns="http://schemas.openxmlformats.org/package/2006/relationships"><Relationship Type="http://schemas.openxmlformats.org/officeDocument/2006/relationships/image" Target="/media/image.png" Id="R3b66d8a630b94447" /></Relationships>
</file>