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d78cc9ccb244b0" /></Relationships>
</file>

<file path=word/document.xml><?xml version="1.0" encoding="utf-8"?>
<w:document xmlns:r="http://schemas.openxmlformats.org/officeDocument/2006/relationships" xmlns:w="http://schemas.openxmlformats.org/wordprocessingml/2006/main">
  <w:body>
    <w:p>
      <w:pPr>
        <w:pStyle w:val="Title"/>
      </w:pPr>
      <w:r>
        <w:t>Acute Anaphylaxis Clinical Care Standard: 01-Evidence of a locally approved anaphylaxis pathway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Anaphylaxis Clinical Care Standard: 01-Evidence of a locally approved anaphylaxis pathway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1-Evidence of a locally approved anaphylaxis 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4ccef4c77643d9">
              <w:r>
                <w:rPr>
                  <w:rStyle w:val="Hyperlink"/>
                  <w:color w:val="244061"/>
                </w:rPr>
                <w:t xml:space="preserve">Australian Commission on Safety and Quality in Health Care</w:t>
              </w:r>
            </w:hyperlink>
            <w:r>
              <w:rPr>
                <w:rStyle w:val="row-content"/>
                <w:color w:val="244061"/>
              </w:rPr>
              <w:t xml:space="preserve">, Standard 24/11/2021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a locally approved anaphylaxis 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931f8ba07ae42bb">
              <w:r>
                <w:rPr>
                  <w:rStyle w:val="Hyperlink"/>
                </w:rPr>
                <w:t xml:space="preserve">Clinical care standard indicators: Acute Anaphylaxis  </w:t>
              </w:r>
            </w:hyperlink>
          </w:p>
          <w:p>
            <w:pPr>
              <w:pStyle w:val="registration-status"/>
              <w:spacing w:before="0" w:after="0"/>
            </w:pPr>
            <w:hyperlink w:history="true" r:id="R7c956e27cdb446c0">
              <w:r>
                <w:rPr>
                  <w:rStyle w:val="Hyperlink"/>
                  <w:color w:val="244061"/>
                </w:rPr>
                <w:t xml:space="preserve">Australian Commission on Safety and Quality in Health Care</w:t>
              </w:r>
            </w:hyperlink>
            <w:r>
              <w:rPr>
                <w:rStyle w:val="row-content"/>
                <w:color w:val="244061"/>
              </w:rPr>
              <w:t xml:space="preserve">, Standard 24/11/2021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Evidence of a locally approved anaphylaxis pathway. The pathway should include:</w:t>
            </w:r>
          </w:p>
          <w:p>
            <w:pPr>
              <w:pStyle w:val="ListParagraph"/>
              <w:numPr>
                <w:ilvl w:val="0"/>
                <w:numId w:val="2"/>
              </w:numPr>
            </w:pPr>
            <w:r>
              <w:rPr>
                <w:rStyle w:val="row-content-rich-text"/>
              </w:rPr>
              <w:t xml:space="preserve">An assessment protocol that outlines the clinical criteria to support prompt diagnosis of anaphylaxis</w:t>
            </w:r>
          </w:p>
          <w:p>
            <w:pPr>
              <w:pStyle w:val="ListParagraph"/>
              <w:numPr>
                <w:ilvl w:val="0"/>
                <w:numId w:val="2"/>
              </w:numPr>
            </w:pPr>
            <w:r>
              <w:rPr>
                <w:rStyle w:val="row-content-rich-text"/>
              </w:rPr>
              <w:t xml:space="preserve">Systems to ensure patients experiencing allergic reactions are monitored appropriately for possible progression of symptoms to anaphylaxis</w:t>
            </w:r>
          </w:p>
          <w:p>
            <w:pPr>
              <w:pStyle w:val="ListParagraph"/>
              <w:numPr>
                <w:ilvl w:val="0"/>
                <w:numId w:val="2"/>
              </w:numPr>
            </w:pPr>
            <w:r>
              <w:rPr>
                <w:rStyle w:val="row-content-rich-text"/>
              </w:rPr>
              <w:t xml:space="preserve">A process to ensure clinicians are competent in the anaphylaxis pathway, and</w:t>
            </w:r>
          </w:p>
          <w:p>
            <w:pPr>
              <w:pStyle w:val="ListParagraph"/>
              <w:numPr>
                <w:ilvl w:val="0"/>
                <w:numId w:val="2"/>
              </w:numPr>
            </w:pPr>
            <w:r>
              <w:rPr>
                <w:rStyle w:val="row-content-rich-text"/>
              </w:rPr>
              <w:t xml:space="preserve">A process to assess adherence to the 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Yes/No</w:t>
            </w:r>
          </w:p>
          <w:p>
            <w:pPr>
              <w:spacing w:after="160"/>
            </w:pPr>
            <w:r>
              <w:rPr>
                <w:rStyle w:val="row-content-rich-text"/>
              </w:rPr>
              <w:t xml:space="preserve">A healthcare setting that has documented evidence of a locally approved anaphylaxis pathway that is implemented should record ‘Yes.’ Otherwise, the healthcare setting should record ‘No.’</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2021. Acute Anaphylaxis clinical care standard. Australian Commission on Safety and Quality in Health Care, Sydney.</w:t>
            </w:r>
          </w:p>
        </w:tc>
      </w:tr>
    </w:tbl>
    <w:p>
      <w:r>
        <w:br/>
      </w:r>
    </w:p>
    <w:sectPr>
      <w:footerReference xmlns:r="http://schemas.openxmlformats.org/officeDocument/2006/relationships" w:type="default" r:id="R5463308bb28747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745147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f71eb224804e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63308bb28747fc" /><Relationship Type="http://schemas.openxmlformats.org/officeDocument/2006/relationships/header" Target="/word/header1.xml" Id="Rdaeda585adb8405a" /><Relationship Type="http://schemas.openxmlformats.org/officeDocument/2006/relationships/settings" Target="/word/settings.xml" Id="R1805819a688c4cf0" /><Relationship Type="http://schemas.openxmlformats.org/officeDocument/2006/relationships/styles" Target="/word/styles.xml" Id="Rc50de8db94834f04" /><Relationship Type="http://schemas.openxmlformats.org/officeDocument/2006/relationships/numbering" Target="/word/numbering.xml" Id="R19ed65c77d744eb9" /><Relationship Type="http://schemas.openxmlformats.org/officeDocument/2006/relationships/hyperlink" Target="https://meteor-uat.aihw.gov.au/RegistrationAuthority/2" TargetMode="External" Id="R8c4ccef4c77643d9" /><Relationship Type="http://schemas.openxmlformats.org/officeDocument/2006/relationships/hyperlink" Target="https://meteor-uat.aihw.gov.au/content/745144" TargetMode="External" Id="Rd931f8ba07ae42bb" /><Relationship Type="http://schemas.openxmlformats.org/officeDocument/2006/relationships/hyperlink" Target="https://meteor-uat.aihw.gov.au/RegistrationAuthority/2" TargetMode="External" Id="R7c956e27cdb446c0" /></Relationships>
</file>

<file path=word/_rels/header1.xml.rels>&#65279;<?xml version="1.0" encoding="utf-8"?><Relationships xmlns="http://schemas.openxmlformats.org/package/2006/relationships"><Relationship Type="http://schemas.openxmlformats.org/officeDocument/2006/relationships/image" Target="/media/image.png" Id="Rb2f71eb224804eda" /></Relationships>
</file>