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82c2b7a7123468d"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f0a37fb2f544a6">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Residential mental health care national minimum data set (RMHC NMDS) is </w:t>
            </w:r>
            <w:hyperlink w:history="true" r:id="Ra4c19e186ea64420">
              <w:r>
                <w:rPr>
                  <w:rStyle w:val="Hyperlink"/>
                </w:rPr>
                <w:t xml:space="preserve">episodes of residential care</w:t>
              </w:r>
            </w:hyperlink>
            <w:r>
              <w:rPr>
                <w:rStyle w:val="row-content-rich-text"/>
              </w:rPr>
              <w:t xml:space="preserve"> for </w:t>
            </w:r>
            <w:hyperlink w:tooltip="A person who receives residential care intended to be for a minimum of one night." w:history="true" r:id="Rc92969555d4548c6">
              <w:r>
                <w:rPr>
                  <w:rStyle w:val="Hyperlink"/>
                  <w:b/>
                </w:rPr>
                <w:t xml:space="preserve">residents</w:t>
              </w:r>
            </w:hyperlink>
            <w:r>
              <w:rPr>
                <w:rStyle w:val="row-content-rich-text"/>
              </w:rPr>
              <w:t xml:space="preserve"> in all government-funded residential mental health care services in Australia, except those residential care services that are in receipt of funding under the </w:t>
            </w:r>
            <w:r>
              <w:rPr>
                <w:rStyle w:val="row-content-rich-text"/>
                <w:i/>
              </w:rPr>
              <w:t xml:space="preserve">Aged Care Act 1997 </w:t>
            </w:r>
            <w:r>
              <w:rPr>
                <w:rStyle w:val="row-content-rich-text"/>
              </w:rPr>
              <w:t xml:space="preserve">and subject to Commonwealth reporting requirements (i.e. report to the System for the Payment of Aged Residential Care (SPARC) collection).</w:t>
            </w:r>
          </w:p>
          <w:p>
            <w:pPr>
              <w:spacing w:after="160"/>
            </w:pPr>
            <w:r>
              <w:rPr>
                <w:rStyle w:val="row-content-rich-text"/>
              </w:rPr>
              <w:t xml:space="preserve">The following metadata are of particular relevance to the scope of the RMHC NMDS:</w:t>
            </w:r>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a861473fd4f14661">
              <w:r>
                <w:rPr>
                  <w:rStyle w:val="Hyperlink"/>
                  <w:b/>
                </w:rPr>
                <w:t xml:space="preserve">Residential mental health care service</w:t>
              </w:r>
            </w:hyperlink>
          </w:p>
          <w:p>
            <w:hyperlink w:history="true" r:id="R92913c0df5db4dc8">
              <w:r>
                <w:rPr>
                  <w:rStyle w:val="Hyperlink"/>
                </w:rPr>
                <w:t xml:space="preserve">Specialised mental health service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37ecb9e720e54875">
              <w:r>
                <w:rPr>
                  <w:rStyle w:val="Hyperlink"/>
                  <w:b/>
                </w:rPr>
                <w:t xml:space="preserve">Episodes of residential care.</w:t>
              </w:r>
            </w:hyperlink>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Government-operated services that employ mental health trained staff on-site 24 hours per day are in scope for collection.</w:t>
            </w:r>
          </w:p>
          <w:p>
            <w:pPr>
              <w:spacing w:after="160"/>
            </w:pPr>
            <w:r>
              <w:rPr>
                <w:rStyle w:val="row-content-rich-text"/>
              </w:rPr>
              <w:t xml:space="preserve">Government-funded, non-government operated services and non 24-hour staffed services can be included,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Admitted patient care National minimum data set.</w:t>
            </w:r>
          </w:p>
          <w:p>
            <w:pPr>
              <w:spacing w:after="160"/>
            </w:pPr>
            <w:r>
              <w:rPr>
                <w:rStyle w:val="row-content-rich-text"/>
                <w:i/>
              </w:rPr>
              <w:t xml:space="preserve">Glossary items</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73f2dd62a2114dcd">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ee9a3dabe2ed4d19">
              <w:r>
                <w:rPr>
                  <w:rStyle w:val="Hyperlink"/>
                  <w:b/>
                </w:rPr>
                <w:t xml:space="preserve">Episode of residential care start</w:t>
              </w:r>
            </w:hyperlink>
          </w:p>
          <w:p>
            <w:hyperlink w:tooltip="A classification scheme that divides an area into mutually exclusive sub-areas based on geographic location." w:history="true" r:id="R6c06bebd67a942cc">
              <w:r>
                <w:rPr>
                  <w:rStyle w:val="Hyperlink"/>
                  <w:b/>
                </w:rPr>
                <w:t xml:space="preserve">Geographic indicator</w:t>
              </w:r>
            </w:hyperlink>
          </w:p>
          <w:p>
            <w:hyperlink w:tooltip="A person who receives residential care intended to be for a minimum of one night." w:history="true" r:id="R4a3d0a0d452a4129">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717ec2b09af347d2">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9c63885275ed48c5">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c314f6e01d42e6">
              <w:r>
                <w:rPr>
                  <w:rStyle w:val="Hyperlink"/>
                </w:rPr>
                <w:t xml:space="preserve">Residential mental health care NMDS 2021–22</w:t>
              </w:r>
            </w:hyperlink>
          </w:p>
          <w:p>
            <w:pPr>
              <w:pStyle w:val="registration-status"/>
              <w:spacing w:before="0" w:after="0"/>
            </w:pPr>
            <w:hyperlink w:history="true" r:id="Rd4e66c71998542fd">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748353a90fcc4ccc">
              <w:r>
                <w:rPr>
                  <w:rStyle w:val="Hyperlink"/>
                </w:rPr>
                <w:t xml:space="preserve">Activity based funding: Mental health care NBEDS 2022–23</w:t>
              </w:r>
            </w:hyperlink>
          </w:p>
          <w:p>
            <w:pPr>
              <w:pStyle w:val="registration-status"/>
              <w:spacing w:before="0" w:after="0"/>
            </w:pPr>
            <w:hyperlink w:history="true" r:id="R4f3ffbcdfb22436b">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4208a9ad83be4ae6">
              <w:r>
                <w:rPr>
                  <w:rStyle w:val="Hyperlink"/>
                </w:rPr>
                <w:t xml:space="preserve">Statistical Area Level 1 of usual residence NBEDS 2022–23</w:t>
              </w:r>
            </w:hyperlink>
          </w:p>
          <w:p>
            <w:pPr>
              <w:pStyle w:val="registration-status"/>
              <w:spacing w:before="0" w:after="0"/>
            </w:pPr>
            <w:hyperlink w:history="true" r:id="R7d31740214574476">
              <w:r>
                <w:rPr>
                  <w:rStyle w:val="Hyperlink"/>
                  <w:color w:val="244061"/>
                </w:rPr>
                <w:t xml:space="preserve">Health!</w:t>
              </w:r>
            </w:hyperlink>
            <w:r>
              <w:rPr>
                <w:rStyle w:val="row-content"/>
                <w:color w:val="244061"/>
              </w:rPr>
              <w:t xml:space="preserve">, Standard 20/10/2021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ebf3dca1a44348">
                    <w:r>
                      <w:rPr>
                        <w:rStyle w:val="Hyperlink"/>
                      </w:rPr>
                      <w:t xml:space="preserve">Episode of care—additional diagnosis, code (ICD-10-AM 12th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282ced9e6041e6">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41606ad6a448ea">
                    <w:r>
                      <w:rPr>
                        <w:rStyle w:val="Hyperlink"/>
                      </w:rPr>
                      <w:t xml:space="preserve">Episode of care—principal diagnosis, code (ICD-10-AM 12th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02c1fa4b974677">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r>
                    <w:t xml:space="preserve">·</w:t>
                  </w:r>
                  <w:r>
                    <w:t xml:space="preserve">       </w:t>
                  </w:r>
                  <w:r>
                    <w:t xml:space="preserve">be ≤ last day of reference period</w:t>
                  </w:r>
                </w:p>
                <w:p>
                  <w:r>
                    <w:t xml:space="preserve">·</w:t>
                  </w:r>
                  <w:r>
                    <w:t xml:space="preserve">       </w:t>
                  </w:r>
                  <w:r>
                    <w:t xml:space="preserve">be ≥ first day of reference period</w:t>
                  </w:r>
                </w:p>
                <w:p>
                  <w:r>
                    <w:t xml:space="preserve">·</w:t>
                  </w:r>
                  <w:r>
                    <w:t xml:space="preserve">       </w:t>
                  </w:r>
                  <w:r>
                    <w:t xml:space="preserve">be ≥ Episode of residential care start date.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f4471de7c24044">
                    <w:r>
                      <w:rPr>
                        <w:rStyle w:val="Hyperlink"/>
                      </w:rPr>
                      <w:t xml:space="preserve">Episode of residential care—episode end mode, code N</w:t>
                    </w:r>
                  </w:hyperlink>
                </w:p>
                <w:p>
                  <w:r>
                    <w:rPr>
                      <w:b/>
                      <w:i/>
                      <w:color w:val="333333"/>
                    </w:rPr>
                    <w:t xml:space="preserve">DSS specific information:</w:t>
                  </w:r>
                </w:p>
                <w:p>
                  <w:r>
                    <w:t xml:space="preserve">Episodes with an episode end mode of 1 (died) should be coded as 8 (not applicable) for referral destination.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b0eca07b894bfd">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aa16d5ab7f4227">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9d08b49a744ae8">
                    <w:r>
                      <w:rPr>
                        <w:rStyle w:val="Hyperlink"/>
                      </w:rPr>
                      <w:t xml:space="preserve">Episode of residential care—mental health care 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16806eb95545ce">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69864b93a0400f">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14b4697ab6461b">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cdca692d6d4a2f">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d22c020f9c4b83">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is to be used for residential mental health care services operated by non-government organisations.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b5ab7b7b6f4c13">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8104aa360a444f">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66275443ca4a2b">
                    <w:r>
                      <w:rPr>
                        <w:rStyle w:val="Hyperlink"/>
                      </w:rPr>
                      <w:t xml:space="preserve">Person—area of usual residence, statistical area level 2 (SA2) code (ASGS Edition 3) N(9)</w:t>
                    </w:r>
                  </w:hyperlink>
                </w:p>
                <w:p>
                  <w:r>
                    <w:rPr>
                      <w:b/>
                      <w:i/>
                      <w:color w:val="333333"/>
                    </w:rPr>
                    <w:t xml:space="preserve">DSS specific information:</w:t>
                  </w:r>
                </w:p>
                <w:p>
                  <w:r>
                    <w:t xml:space="preserve">The following SA2 codes have been agreed by the Mental Health Information Strategy Standing Committee (MHISSC) as supplementary codes for use in the Residential Mental Health Care NMDS:</w:t>
                  </w:r>
                </w:p>
                <w:tbl>
                  <w:tblPr>
                    <w:tblStyle w:val="InnerTable"/>
                    <w:tblW w:w="0" w:type="auto"/>
                  </w:tblPr>
                  <w:tblGrid>
                    <w:gridCol/>
                    <w:gridCol/>
                    <w:gridCol/>
                    <w:gridCol/>
                    <w:gridCol/>
                  </w:tblGrid>
                  <w:tr>
                    <w:trPr/>
                    <w:tc>
                      <w:tcPr>
                        <w:vAlign w:val="top"/>
                      </w:tcPr>
                      <w:p>
                        <w:r>
                          <w:t xml:space="preserve">STATE_CODE_2016</w:t>
                        </w:r>
                      </w:p>
                    </w:tc>
                    <w:tc>
                      <w:tcPr>
                        <w:vAlign w:val="top"/>
                      </w:tcPr>
                      <w:p>
                        <w:r>
                          <w:t xml:space="preserve">STATE_NAME_2016</w:t>
                        </w:r>
                      </w:p>
                    </w:tc>
                    <w:tc>
                      <w:tcPr>
                        <w:vAlign w:val="top"/>
                      </w:tcPr>
                      <w:p>
                        <w:r>
                          <w:t xml:space="preserve">Not applicable</w:t>
                        </w:r>
                        <w:r>
                          <w:t xml:space="preserve">   </w:t>
                        </w:r>
                      </w:p>
                    </w:tc>
                    <w:tc>
                      <w:tcPr>
                        <w:vAlign w:val="top"/>
                      </w:tcPr>
                      <w:p>
                        <w:r>
                          <w:t xml:space="preserve">Unknown (Not stated/inadequately described)</w:t>
                        </w:r>
                      </w:p>
                    </w:tc>
                    <w:tc>
                      <w:tcPr>
                        <w:vAlign w:val="top"/>
                      </w:tcPr>
                      <w:p>
                        <w:r>
                          <w:t xml:space="preserve">No usual address</w:t>
                        </w:r>
                      </w:p>
                    </w:tc>
                  </w:tr>
                  <w:tr>
                    <w:trPr/>
                    <w:tc>
                      <w:tcPr>
                        <w:vAlign w:val="top"/>
                      </w:tcPr>
                      <w:p>
                        <w:r>
                          <w:t xml:space="preserve">1</w:t>
                        </w:r>
                      </w:p>
                    </w:tc>
                    <w:tc>
                      <w:tcPr>
                        <w:vAlign w:val="top"/>
                      </w:tcPr>
                      <w:p>
                        <w:r>
                          <w:t xml:space="preserve">New South Wales</w:t>
                        </w:r>
                      </w:p>
                    </w:tc>
                    <w:tc>
                      <w:tcPr>
                        <w:vAlign w:val="top"/>
                      </w:tcPr>
                      <w:p>
                        <w:r>
                          <w:t xml:space="preserve">199999497</w:t>
                        </w:r>
                      </w:p>
                    </w:tc>
                    <w:tc>
                      <w:tcPr>
                        <w:vAlign w:val="top"/>
                      </w:tcPr>
                      <w:p>
                        <w:r>
                          <w:t xml:space="preserve">199999498</w:t>
                        </w:r>
                      </w:p>
                    </w:tc>
                    <w:tc>
                      <w:tcPr>
                        <w:vAlign w:val="top"/>
                      </w:tcPr>
                      <w:p>
                        <w:r>
                          <w:t xml:space="preserve">199999499</w:t>
                        </w:r>
                      </w:p>
                    </w:tc>
                  </w:tr>
                  <w:tr>
                    <w:trPr/>
                    <w:tc>
                      <w:tcPr>
                        <w:vAlign w:val="top"/>
                      </w:tcPr>
                      <w:p>
                        <w:r>
                          <w:t xml:space="preserve">2</w:t>
                        </w:r>
                      </w:p>
                    </w:tc>
                    <w:tc>
                      <w:tcPr>
                        <w:vAlign w:val="top"/>
                      </w:tcPr>
                      <w:p>
                        <w:r>
                          <w:t xml:space="preserve">Victoria</w:t>
                        </w:r>
                      </w:p>
                    </w:tc>
                    <w:tc>
                      <w:tcPr>
                        <w:vAlign w:val="top"/>
                      </w:tcPr>
                      <w:p>
                        <w:r>
                          <w:t xml:space="preserve">299999497</w:t>
                        </w:r>
                      </w:p>
                    </w:tc>
                    <w:tc>
                      <w:tcPr>
                        <w:vAlign w:val="top"/>
                      </w:tcPr>
                      <w:p>
                        <w:r>
                          <w:t xml:space="preserve"> 299999498</w:t>
                        </w:r>
                      </w:p>
                    </w:tc>
                    <w:tc>
                      <w:tcPr>
                        <w:vAlign w:val="top"/>
                      </w:tcPr>
                      <w:p>
                        <w:r>
                          <w:t xml:space="preserve">299999499</w:t>
                        </w:r>
                      </w:p>
                    </w:tc>
                  </w:tr>
                  <w:tr>
                    <w:trPr/>
                    <w:tc>
                      <w:tcPr>
                        <w:vAlign w:val="top"/>
                      </w:tcPr>
                      <w:p>
                        <w:r>
                          <w:t xml:space="preserve">3</w:t>
                        </w:r>
                      </w:p>
                    </w:tc>
                    <w:tc>
                      <w:tcPr>
                        <w:vAlign w:val="top"/>
                      </w:tcPr>
                      <w:p>
                        <w:r>
                          <w:t xml:space="preserve">Queensland</w:t>
                        </w:r>
                      </w:p>
                    </w:tc>
                    <w:tc>
                      <w:tcPr>
                        <w:vAlign w:val="top"/>
                      </w:tcPr>
                      <w:p>
                        <w:r>
                          <w:t xml:space="preserve">399999497</w:t>
                        </w:r>
                      </w:p>
                    </w:tc>
                    <w:tc>
                      <w:tcPr>
                        <w:vAlign w:val="top"/>
                      </w:tcPr>
                      <w:p>
                        <w:r>
                          <w:t xml:space="preserve"> 399999498</w:t>
                        </w:r>
                      </w:p>
                    </w:tc>
                    <w:tc>
                      <w:tcPr>
                        <w:vAlign w:val="top"/>
                      </w:tcPr>
                      <w:p>
                        <w:r>
                          <w:t xml:space="preserve"> 399999499</w:t>
                        </w:r>
                      </w:p>
                    </w:tc>
                  </w:tr>
                  <w:tr>
                    <w:trPr/>
                    <w:tc>
                      <w:tcPr>
                        <w:vAlign w:val="top"/>
                      </w:tcPr>
                      <w:p>
                        <w:r>
                          <w:t xml:space="preserve">4</w:t>
                        </w:r>
                      </w:p>
                    </w:tc>
                    <w:tc>
                      <w:tcPr>
                        <w:vAlign w:val="top"/>
                      </w:tcPr>
                      <w:p>
                        <w:r>
                          <w:t xml:space="preserve">South Australia</w:t>
                        </w:r>
                      </w:p>
                    </w:tc>
                    <w:tc>
                      <w:tcPr>
                        <w:vAlign w:val="top"/>
                      </w:tcPr>
                      <w:p>
                        <w:r>
                          <w:t xml:space="preserve">499999497</w:t>
                        </w:r>
                      </w:p>
                    </w:tc>
                    <w:tc>
                      <w:tcPr>
                        <w:vAlign w:val="top"/>
                      </w:tcPr>
                      <w:p>
                        <w:r>
                          <w:t xml:space="preserve"> 499999498</w:t>
                        </w:r>
                      </w:p>
                    </w:tc>
                    <w:tc>
                      <w:tcPr>
                        <w:vAlign w:val="top"/>
                      </w:tcPr>
                      <w:p>
                        <w:r>
                          <w:t xml:space="preserve"> 499999499</w:t>
                        </w:r>
                      </w:p>
                    </w:tc>
                  </w:tr>
                  <w:tr>
                    <w:trPr/>
                    <w:tc>
                      <w:tcPr>
                        <w:vAlign w:val="top"/>
                      </w:tcPr>
                      <w:p>
                        <w:r>
                          <w:t xml:space="preserve">5</w:t>
                        </w:r>
                      </w:p>
                    </w:tc>
                    <w:tc>
                      <w:tcPr>
                        <w:vAlign w:val="top"/>
                      </w:tcPr>
                      <w:p>
                        <w:r>
                          <w:t xml:space="preserve">Western Australia</w:t>
                        </w:r>
                      </w:p>
                    </w:tc>
                    <w:tc>
                      <w:tcPr>
                        <w:vAlign w:val="top"/>
                      </w:tcPr>
                      <w:p>
                        <w:r>
                          <w:t xml:space="preserve">599999497</w:t>
                        </w:r>
                      </w:p>
                    </w:tc>
                    <w:tc>
                      <w:tcPr>
                        <w:vAlign w:val="top"/>
                      </w:tcPr>
                      <w:p>
                        <w:r>
                          <w:t xml:space="preserve"> 599999498</w:t>
                        </w:r>
                      </w:p>
                    </w:tc>
                    <w:tc>
                      <w:tcPr>
                        <w:vAlign w:val="top"/>
                      </w:tcPr>
                      <w:p>
                        <w:r>
                          <w:t xml:space="preserve">599999499</w:t>
                        </w:r>
                      </w:p>
                    </w:tc>
                  </w:tr>
                  <w:tr>
                    <w:trPr/>
                    <w:tc>
                      <w:tcPr>
                        <w:vAlign w:val="top"/>
                      </w:tcPr>
                      <w:p>
                        <w:r>
                          <w:t xml:space="preserve">6</w:t>
                        </w:r>
                      </w:p>
                    </w:tc>
                    <w:tc>
                      <w:tcPr>
                        <w:vAlign w:val="top"/>
                      </w:tcPr>
                      <w:p>
                        <w:r>
                          <w:t xml:space="preserve">Tasmania</w:t>
                        </w:r>
                      </w:p>
                    </w:tc>
                    <w:tc>
                      <w:tcPr>
                        <w:vAlign w:val="top"/>
                      </w:tcPr>
                      <w:p>
                        <w:r>
                          <w:t xml:space="preserve">699999497</w:t>
                        </w:r>
                      </w:p>
                    </w:tc>
                    <w:tc>
                      <w:tcPr>
                        <w:vAlign w:val="top"/>
                      </w:tcPr>
                      <w:p>
                        <w:r>
                          <w:t xml:space="preserve"> 699999498</w:t>
                        </w:r>
                      </w:p>
                    </w:tc>
                    <w:tc>
                      <w:tcPr>
                        <w:vAlign w:val="top"/>
                      </w:tcPr>
                      <w:p>
                        <w:r>
                          <w:t xml:space="preserve"> 699999499</w:t>
                        </w:r>
                      </w:p>
                    </w:tc>
                  </w:tr>
                  <w:tr>
                    <w:trPr/>
                    <w:tc>
                      <w:tcPr>
                        <w:vAlign w:val="top"/>
                      </w:tcPr>
                      <w:p>
                        <w:r>
                          <w:t xml:space="preserve">7</w:t>
                        </w:r>
                      </w:p>
                    </w:tc>
                    <w:tc>
                      <w:tcPr>
                        <w:vAlign w:val="top"/>
                      </w:tcPr>
                      <w:p>
                        <w:r>
                          <w:t xml:space="preserve">Northern Territory</w:t>
                        </w:r>
                      </w:p>
                    </w:tc>
                    <w:tc>
                      <w:tcPr>
                        <w:vAlign w:val="top"/>
                      </w:tcPr>
                      <w:p>
                        <w:r>
                          <w:t xml:space="preserve">799999497</w:t>
                        </w:r>
                      </w:p>
                    </w:tc>
                    <w:tc>
                      <w:tcPr>
                        <w:vAlign w:val="top"/>
                      </w:tcPr>
                      <w:p>
                        <w:r>
                          <w:t xml:space="preserve"> 799999498</w:t>
                        </w:r>
                      </w:p>
                    </w:tc>
                    <w:tc>
                      <w:tcPr>
                        <w:vAlign w:val="top"/>
                      </w:tcPr>
                      <w:p>
                        <w:r>
                          <w:t xml:space="preserve"> 799999499</w:t>
                        </w:r>
                      </w:p>
                    </w:tc>
                  </w:tr>
                  <w:tr>
                    <w:trPr/>
                    <w:tc>
                      <w:tcPr>
                        <w:vAlign w:val="top"/>
                      </w:tcPr>
                      <w:p>
                        <w:r>
                          <w:t xml:space="preserve">8</w:t>
                        </w:r>
                      </w:p>
                    </w:tc>
                    <w:tc>
                      <w:tcPr>
                        <w:vAlign w:val="top"/>
                      </w:tcPr>
                      <w:p>
                        <w:r>
                          <w:t xml:space="preserve">Australian Capital Territory</w:t>
                        </w:r>
                      </w:p>
                    </w:tc>
                    <w:tc>
                      <w:tcPr>
                        <w:vAlign w:val="top"/>
                      </w:tcPr>
                      <w:p>
                        <w:r>
                          <w:t xml:space="preserve">899999497</w:t>
                        </w:r>
                      </w:p>
                    </w:tc>
                    <w:tc>
                      <w:tcPr>
                        <w:vAlign w:val="top"/>
                      </w:tcPr>
                      <w:p>
                        <w:r>
                          <w:t xml:space="preserve"> 899999498</w:t>
                        </w:r>
                      </w:p>
                    </w:tc>
                    <w:tc>
                      <w:tcPr>
                        <w:vAlign w:val="top"/>
                      </w:tcPr>
                      <w:p>
                        <w:r>
                          <w:t xml:space="preserve"> 899999499</w:t>
                        </w:r>
                      </w:p>
                    </w:tc>
                  </w:tr>
                  <w:tr>
                    <w:trPr/>
                    <w:tc>
                      <w:tcPr>
                        <w:vAlign w:val="top"/>
                      </w:tcPr>
                      <w:p>
                        <w:r>
                          <w:t xml:space="preserve">9</w:t>
                        </w:r>
                      </w:p>
                    </w:tc>
                    <w:tc>
                      <w:tcPr>
                        <w:vAlign w:val="top"/>
                      </w:tcPr>
                      <w:p>
                        <w:r>
                          <w:t xml:space="preserve">Other Territories</w:t>
                        </w:r>
                      </w:p>
                    </w:tc>
                    <w:tc>
                      <w:tcPr>
                        <w:vAlign w:val="top"/>
                      </w:tcPr>
                      <w:p>
                        <w:r>
                          <w:t xml:space="preserve">999999497</w:t>
                        </w:r>
                      </w:p>
                    </w:tc>
                    <w:tc>
                      <w:tcPr>
                        <w:vAlign w:val="top"/>
                      </w:tcPr>
                      <w:p>
                        <w:r>
                          <w:t xml:space="preserve"> 999999498</w:t>
                        </w:r>
                      </w:p>
                    </w:tc>
                    <w:tc>
                      <w:tcPr>
                        <w:vAlign w:val="top"/>
                      </w:tcPr>
                      <w:p>
                        <w:r>
                          <w:t xml:space="preserve"> 999999499</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ce216db816447c">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2d0d0f9c3445bb">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278da2187c4ed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f38b8493624d4a">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dccf9129024f40">
                    <w:r>
                      <w:rPr>
                        <w:rStyle w:val="Hyperlink"/>
                      </w:rPr>
                      <w:t xml:space="preserve">Person—person identifier, XXXXXX[X(14)]</w:t>
                    </w:r>
                  </w:hyperlink>
                </w:p>
                <w:p>
                  <w:r>
                    <w:rPr>
                      <w:b/>
                      <w:i/>
                      <w:color w:val="333333"/>
                    </w:rPr>
                    <w:t xml:space="preserve">DSS specific information:</w:t>
                  </w:r>
                </w:p>
                <w:p>
                  <w:r>
                    <w:t xml:space="preserve">For mental health collections, the </w:t>
                  </w:r>
                  <w:hyperlink w:history="true" r:id="R43285e034d8e45da">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141b13059746ad">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ef786b22664217">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162a8c42f04c0a">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25e5e0c6a64798">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cce2a485d24c6c">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a211691d9a4398">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887786c4b1548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742165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64bcf8d8ec48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87786c4b1548bc" /><Relationship Type="http://schemas.openxmlformats.org/officeDocument/2006/relationships/header" Target="/word/header1.xml" Id="R48dbb91149cb42e4" /><Relationship Type="http://schemas.openxmlformats.org/officeDocument/2006/relationships/settings" Target="/word/settings.xml" Id="R54d23ff39c614727" /><Relationship Type="http://schemas.openxmlformats.org/officeDocument/2006/relationships/styles" Target="/word/styles.xml" Id="R253d490318a3499e" /><Relationship Type="http://schemas.openxmlformats.org/officeDocument/2006/relationships/numbering" Target="/word/numbering.xml" Id="Rbf7e834b80cb4c0c" /><Relationship Type="http://schemas.openxmlformats.org/officeDocument/2006/relationships/hyperlink" Target="https://meteor-uat.aihw.gov.au/RegistrationAuthority/14" TargetMode="External" Id="Rf1f0a37fb2f544a6" /><Relationship Type="http://schemas.openxmlformats.org/officeDocument/2006/relationships/hyperlink" Target="https://meteor-uat.aihw.gov.au/content/723170" TargetMode="External" Id="Ra4c19e186ea64420" /><Relationship Type="http://schemas.openxmlformats.org/officeDocument/2006/relationships/hyperlink" Target="https://meteor-uat.aihw.gov.au/content/722666" TargetMode="External" Id="Rc92969555d4548c6" /><Relationship Type="http://schemas.openxmlformats.org/officeDocument/2006/relationships/hyperlink" Target="https://meteor-uat.aihw.gov.au/content/373049" TargetMode="External" Id="Ra861473fd4f14661" /><Relationship Type="http://schemas.openxmlformats.org/officeDocument/2006/relationships/hyperlink" Target="https://meteor-uat.aihw.gov.au/content/268984" TargetMode="External" Id="R92913c0df5db4dc8" /><Relationship Type="http://schemas.openxmlformats.org/officeDocument/2006/relationships/hyperlink" Target="https://meteor-uat.aihw.gov.au/content/723170" TargetMode="External" Id="R37ecb9e720e54875" /><Relationship Type="http://schemas.openxmlformats.org/officeDocument/2006/relationships/hyperlink" Target="https://meteor-uat.aihw.gov.au/content/376427" TargetMode="External" Id="R73f2dd62a2114dcd" /><Relationship Type="http://schemas.openxmlformats.org/officeDocument/2006/relationships/hyperlink" Target="https://meteor-uat.aihw.gov.au/content/376510" TargetMode="External" Id="Ree9a3dabe2ed4d19" /><Relationship Type="http://schemas.openxmlformats.org/officeDocument/2006/relationships/hyperlink" Target="https://meteor-uat.aihw.gov.au/content/722655" TargetMode="External" Id="R6c06bebd67a942cc" /><Relationship Type="http://schemas.openxmlformats.org/officeDocument/2006/relationships/hyperlink" Target="https://meteor-uat.aihw.gov.au/content/722666" TargetMode="External" Id="R4a3d0a0d452a4129" /><Relationship Type="http://schemas.openxmlformats.org/officeDocument/2006/relationships/hyperlink" Target="https://meteor-uat.aihw.gov.au/content/373049" TargetMode="External" Id="R717ec2b09af347d2" /><Relationship Type="http://schemas.openxmlformats.org/officeDocument/2006/relationships/hyperlink" Target="https://meteor-uat.aihw.gov.au/content/327268" TargetMode="External" Id="R9c63885275ed48c5" /><Relationship Type="http://schemas.openxmlformats.org/officeDocument/2006/relationships/hyperlink" Target="https://meteor-uat.aihw.gov.au/content/727354" TargetMode="External" Id="R1cc314f6e01d42e6" /><Relationship Type="http://schemas.openxmlformats.org/officeDocument/2006/relationships/hyperlink" Target="https://meteor-uat.aihw.gov.au/RegistrationAuthority/14" TargetMode="External" Id="Rd4e66c71998542fd" /><Relationship Type="http://schemas.openxmlformats.org/officeDocument/2006/relationships/hyperlink" Target="https://meteor-uat.aihw.gov.au/content/742188" TargetMode="External" Id="R748353a90fcc4ccc" /><Relationship Type="http://schemas.openxmlformats.org/officeDocument/2006/relationships/hyperlink" Target="https://meteor-uat.aihw.gov.au/RegistrationAuthority/14" TargetMode="External" Id="R4f3ffbcdfb22436b" /><Relationship Type="http://schemas.openxmlformats.org/officeDocument/2006/relationships/hyperlink" Target="https://meteor-uat.aihw.gov.au/content/742163" TargetMode="External" Id="R4208a9ad83be4ae6" /><Relationship Type="http://schemas.openxmlformats.org/officeDocument/2006/relationships/hyperlink" Target="https://meteor-uat.aihw.gov.au/RegistrationAuthority/14" TargetMode="External" Id="R7d31740214574476" /><Relationship Type="http://schemas.openxmlformats.org/officeDocument/2006/relationships/hyperlink" Target="https://meteor-uat.aihw.gov.au/content/746667" TargetMode="External" Id="Rfbebf3dca1a44348" /><Relationship Type="http://schemas.openxmlformats.org/officeDocument/2006/relationships/hyperlink" Target="https://meteor-uat.aihw.gov.au/content/727343" TargetMode="External" Id="R67282ced9e6041e6" /><Relationship Type="http://schemas.openxmlformats.org/officeDocument/2006/relationships/hyperlink" Target="https://meteor-uat.aihw.gov.au/content/746665" TargetMode="External" Id="Rcc41606ad6a448ea" /><Relationship Type="http://schemas.openxmlformats.org/officeDocument/2006/relationships/hyperlink" Target="https://meteor-uat.aihw.gov.au/content/723189" TargetMode="External" Id="R1702c1fa4b974677" /><Relationship Type="http://schemas.openxmlformats.org/officeDocument/2006/relationships/hyperlink" Target="https://meteor-uat.aihw.gov.au/content/723192" TargetMode="External" Id="R31f4471de7c24044" /><Relationship Type="http://schemas.openxmlformats.org/officeDocument/2006/relationships/hyperlink" Target="https://meteor-uat.aihw.gov.au/content/723194" TargetMode="External" Id="R81b0eca07b894bfd" /><Relationship Type="http://schemas.openxmlformats.org/officeDocument/2006/relationships/hyperlink" Target="https://meteor-uat.aihw.gov.au/content/723196" TargetMode="External" Id="Rc9aa16d5ab7f4227" /><Relationship Type="http://schemas.openxmlformats.org/officeDocument/2006/relationships/hyperlink" Target="https://meteor-uat.aihw.gov.au/content/723198" TargetMode="External" Id="R419d08b49a744ae8" /><Relationship Type="http://schemas.openxmlformats.org/officeDocument/2006/relationships/hyperlink" Target="https://meteor-uat.aihw.gov.au/content/723200" TargetMode="External" Id="R5516806eb95545ce" /><Relationship Type="http://schemas.openxmlformats.org/officeDocument/2006/relationships/hyperlink" Target="https://meteor-uat.aihw.gov.au/content/720081" TargetMode="External" Id="R4769864b93a0400f" /><Relationship Type="http://schemas.openxmlformats.org/officeDocument/2006/relationships/hyperlink" Target="https://meteor-uat.aihw.gov.au/content/269940" TargetMode="External" Id="R0f14b4697ab6461b" /><Relationship Type="http://schemas.openxmlformats.org/officeDocument/2006/relationships/hyperlink" Target="https://meteor-uat.aihw.gov.au/content/407187" TargetMode="External" Id="Ra8cdca692d6d4a2f" /><Relationship Type="http://schemas.openxmlformats.org/officeDocument/2006/relationships/hyperlink" Target="https://meteor-uat.aihw.gov.au/content/269977" TargetMode="External" Id="Ra3d22c020f9c4b83" /><Relationship Type="http://schemas.openxmlformats.org/officeDocument/2006/relationships/hyperlink" Target="https://meteor-uat.aihw.gov.au/content/404858" TargetMode="External" Id="R45b5ab7b7b6f4c13" /><Relationship Type="http://schemas.openxmlformats.org/officeDocument/2006/relationships/hyperlink" Target="https://meteor-uat.aihw.gov.au/content/409209" TargetMode="External" Id="Rf28104aa360a444f" /><Relationship Type="http://schemas.openxmlformats.org/officeDocument/2006/relationships/hyperlink" Target="https://meteor-uat.aihw.gov.au/content/747315" TargetMode="External" Id="Ra666275443ca4a2b" /><Relationship Type="http://schemas.openxmlformats.org/officeDocument/2006/relationships/hyperlink" Target="https://meteor-uat.aihw.gov.au/content/659454" TargetMode="External" Id="Radce216db816447c" /><Relationship Type="http://schemas.openxmlformats.org/officeDocument/2006/relationships/hyperlink" Target="https://meteor-uat.aihw.gov.au/content/287007" TargetMode="External" Id="R272d0d0f9c3445bb" /><Relationship Type="http://schemas.openxmlformats.org/officeDocument/2006/relationships/hyperlink" Target="https://meteor-uat.aihw.gov.au/content/602543" TargetMode="External" Id="Rde278da2187c4edc" /><Relationship Type="http://schemas.openxmlformats.org/officeDocument/2006/relationships/hyperlink" Target="https://meteor-uat.aihw.gov.au/content/291045" TargetMode="External" Id="Rc1f38b8493624d4a" /><Relationship Type="http://schemas.openxmlformats.org/officeDocument/2006/relationships/hyperlink" Target="https://meteor-uat.aihw.gov.au/content/290046" TargetMode="External" Id="R32dccf9129024f40" /><Relationship Type="http://schemas.openxmlformats.org/officeDocument/2006/relationships/hyperlink" Target="https://meteor-uat.aihw.gov.au/content/290046" TargetMode="External" Id="R43285e034d8e45da" /><Relationship Type="http://schemas.openxmlformats.org/officeDocument/2006/relationships/hyperlink" Target="https://meteor-uat.aihw.gov.au/content/741686" TargetMode="External" Id="Rff141b13059746ad" /><Relationship Type="http://schemas.openxmlformats.org/officeDocument/2006/relationships/hyperlink" Target="https://meteor-uat.aihw.gov.au/content/723256" TargetMode="External" Id="Rfaef786b22664217" /><Relationship Type="http://schemas.openxmlformats.org/officeDocument/2006/relationships/hyperlink" Target="https://meteor-uat.aihw.gov.au/content/404186" TargetMode="External" Id="R01162a8c42f04c0a" /><Relationship Type="http://schemas.openxmlformats.org/officeDocument/2006/relationships/hyperlink" Target="https://meteor-uat.aihw.gov.au/content/405767" TargetMode="External" Id="R9925e5e0c6a64798" /><Relationship Type="http://schemas.openxmlformats.org/officeDocument/2006/relationships/hyperlink" Target="https://meteor-uat.aihw.gov.au/content/722711" TargetMode="External" Id="R99cce2a485d24c6c" /><Relationship Type="http://schemas.openxmlformats.org/officeDocument/2006/relationships/hyperlink" Target="https://meteor-uat.aihw.gov.au/content/722715" TargetMode="External" Id="Re1a211691d9a4398" /></Relationships>
</file>

<file path=word/_rels/header1.xml.rels>&#65279;<?xml version="1.0" encoding="utf-8"?><Relationships xmlns="http://schemas.openxmlformats.org/package/2006/relationships"><Relationship Type="http://schemas.openxmlformats.org/officeDocument/2006/relationships/image" Target="/media/image.png" Id="R3364bcf8d8ec489a" /></Relationships>
</file>