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3489906be54241" /></Relationships>
</file>

<file path=word/document.xml><?xml version="1.0" encoding="utf-8"?>
<w:document xmlns:r="http://schemas.openxmlformats.org/officeDocument/2006/relationships" xmlns:w="http://schemas.openxmlformats.org/wordprocessingml/2006/main">
  <w:body>
    <w:p>
      <w:pPr>
        <w:pStyle w:val="Title"/>
      </w:pPr>
      <w:r>
        <w:t>Person—gender,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4156160bf4d23">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f6d14bf856374f8b">
              <w:r>
                <w:rPr>
                  <w:rStyle w:val="Hyperlink"/>
                  <w:b/>
                </w:rPr>
                <w:t xml:space="preserve">gender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24503e32ef43b0">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f48df40cc249b1">
              <w:r>
                <w:rPr>
                  <w:rStyle w:val="Hyperlink"/>
                </w:rPr>
                <w:t xml:space="preserve">Gender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Man, or boy, or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Woman, or girl,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Non-binary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Prefer not to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Man, or boy, or male</w:t>
            </w:r>
          </w:p>
          <w:p>
            <w:pPr>
              <w:spacing w:after="160"/>
            </w:pPr>
            <w:r>
              <w:rPr>
                <w:rStyle w:val="row-content-rich-text"/>
              </w:rPr>
              <w:t xml:space="preserve">A person who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026305d0c4cf40d0">
              <w:r>
                <w:rPr>
                  <w:rStyle w:val="Hyperlink"/>
                  <w:b/>
                </w:rPr>
                <w:t xml:space="preserve">gender</w:t>
              </w:r>
            </w:hyperlink>
            <w:r>
              <w:rPr>
                <w:rStyle w:val="row-content-rich-text"/>
              </w:rPr>
              <w:t xml:space="preserve"> as man, or boy, or male.</w:t>
            </w:r>
          </w:p>
          <w:p>
            <w:pPr>
              <w:spacing w:after="160"/>
            </w:pPr>
            <w:r>
              <w:rPr>
                <w:rStyle w:val="row-content-rich-text"/>
              </w:rPr>
              <w:t xml:space="preserve">CODE 2     Woman, or girl, or female  </w:t>
            </w:r>
          </w:p>
          <w:p>
            <w:pPr>
              <w:spacing w:after="160"/>
            </w:pPr>
            <w:r>
              <w:rPr>
                <w:rStyle w:val="row-content-rich-text"/>
              </w:rPr>
              <w:t xml:space="preserve">A person who describes their gender as woman, or girl, or female.</w:t>
            </w:r>
          </w:p>
          <w:p>
            <w:pPr>
              <w:spacing w:after="160"/>
            </w:pPr>
            <w:r>
              <w:rPr>
                <w:rStyle w:val="row-content-rich-text"/>
              </w:rPr>
              <w:t xml:space="preserve">CODE 3     Non-binary</w:t>
            </w:r>
          </w:p>
          <w:p>
            <w:pPr>
              <w:spacing w:after="160"/>
            </w:pPr>
            <w:r>
              <w:rPr>
                <w:rStyle w:val="row-content-rich-text"/>
              </w:rPr>
              <w:t xml:space="preserve">A person who describes their gender as non-binary.</w:t>
            </w:r>
          </w:p>
          <w:p>
            <w:pPr>
              <w:spacing w:after="160"/>
            </w:pPr>
            <w:r>
              <w:rPr>
                <w:rStyle w:val="row-content-rich-text"/>
              </w:rPr>
              <w:t xml:space="preserve">CODE 4     Different term</w:t>
            </w:r>
          </w:p>
          <w:p>
            <w:pPr>
              <w:spacing w:after="160"/>
            </w:pPr>
            <w:r>
              <w:rPr>
                <w:rStyle w:val="row-content-rich-text"/>
              </w:rPr>
              <w:t xml:space="preserve">A person who describes their gender as a term other than man/boy/male, woman/girl/female or non-binary.</w:t>
            </w:r>
          </w:p>
          <w:p>
            <w:pPr>
              <w:spacing w:after="160"/>
            </w:pPr>
            <w:r>
              <w:rPr>
                <w:rStyle w:val="row-content-rich-text"/>
              </w:rPr>
              <w:t xml:space="preserve">CODE 5     Prefer not to answer</w:t>
            </w:r>
          </w:p>
          <w:p>
            <w:pPr>
              <w:spacing w:after="160"/>
            </w:pPr>
            <w:r>
              <w:rPr>
                <w:rStyle w:val="row-content-rich-text"/>
              </w:rPr>
              <w:t xml:space="preserve">A person who prefers not to respond on how they describe their gender.</w:t>
            </w:r>
          </w:p>
          <w:p>
            <w:pPr>
              <w:spacing w:after="160"/>
            </w:pPr>
            <w:r>
              <w:rPr>
                <w:rStyle w:val="row-content-rich-text"/>
              </w:rPr>
              <w:t xml:space="preserve">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 system, which can be mapped to the Codes specified above:</w:t>
            </w:r>
          </w:p>
          <w:p>
            <w:pPr>
              <w:spacing w:after="160"/>
            </w:pPr>
            <w:r>
              <w:rPr>
                <w:rStyle w:val="row-content-rich-text"/>
              </w:rPr>
              <w:t xml:space="preserve">CODE M     Man, or boy, or male</w:t>
            </w:r>
          </w:p>
          <w:p>
            <w:pPr>
              <w:spacing w:after="160"/>
            </w:pPr>
            <w:r>
              <w:rPr>
                <w:rStyle w:val="row-content-rich-text"/>
              </w:rPr>
              <w:t xml:space="preserve">CODE F     Woman, or girl, or female  </w:t>
            </w:r>
          </w:p>
          <w:p>
            <w:pPr>
              <w:spacing w:after="160"/>
            </w:pPr>
            <w:r>
              <w:rPr>
                <w:rStyle w:val="row-content-rich-text"/>
              </w:rPr>
              <w:t xml:space="preserve">CODE X     Non-binary</w:t>
            </w:r>
          </w:p>
          <w:p>
            <w:pPr>
              <w:spacing w:after="160"/>
            </w:pPr>
            <w:r>
              <w:rPr>
                <w:rStyle w:val="row-content-rich-text"/>
              </w:rPr>
              <w:t xml:space="preserve">CODE T     Different term</w:t>
            </w:r>
          </w:p>
          <w:p>
            <w:pPr>
              <w:spacing w:after="160"/>
            </w:pPr>
            <w:r>
              <w:rPr>
                <w:rStyle w:val="row-content-rich-text"/>
              </w:rPr>
              <w:t xml:space="preserve">CODE Z     Prefer not to answer</w:t>
            </w:r>
          </w:p>
          <w:p>
            <w:pPr>
              <w:spacing w:after="160"/>
            </w:pPr>
            <w:r>
              <w:rPr>
                <w:rStyle w:val="row-content-rich-text"/>
              </w:rPr>
              <w:t xml:space="preserve"> </w:t>
            </w:r>
          </w:p>
          <w:p>
            <w:pPr>
              <w:spacing w:after="160"/>
            </w:pPr>
            <w:r>
              <w:rPr>
                <w:rStyle w:val="row-content-rich-text"/>
                <w:b/>
              </w:rPr>
              <w:t xml:space="preserve">Mapping Codes</w:t>
            </w:r>
          </w:p>
          <w:p>
            <w:pPr>
              <w:spacing w:after="160"/>
            </w:pPr>
            <w:r>
              <w:rPr>
                <w:rStyle w:val="row-content-rich-text"/>
              </w:rPr>
              <w:t xml:space="preserve">The ABS Standard also allows for the categories for gender to be mapped as follows:</w:t>
            </w:r>
          </w:p>
          <w:p>
            <w:pPr>
              <w:pStyle w:val="ListParagraph"/>
              <w:numPr>
                <w:ilvl w:val="0"/>
                <w:numId w:val="2"/>
              </w:numPr>
            </w:pPr>
            <w:r>
              <w:rPr>
                <w:rStyle w:val="row-content-rich-text"/>
              </w:rPr>
              <w:t xml:space="preserve">Man, or boy</w:t>
            </w:r>
          </w:p>
          <w:p>
            <w:pPr>
              <w:spacing w:after="160"/>
            </w:pPr>
            <w:r>
              <w:rPr>
                <w:rStyle w:val="row-content-rich-text"/>
              </w:rPr>
              <w:t xml:space="preserve">Includes CODE 1</w:t>
            </w:r>
          </w:p>
          <w:p>
            <w:pPr>
              <w:pStyle w:val="ListParagraph"/>
              <w:numPr>
                <w:ilvl w:val="0"/>
                <w:numId w:val="3"/>
              </w:numPr>
            </w:pPr>
            <w:r>
              <w:rPr>
                <w:rStyle w:val="row-content-rich-text"/>
              </w:rPr>
              <w:t xml:space="preserve">Woman, or girl</w:t>
            </w:r>
          </w:p>
          <w:p>
            <w:pPr>
              <w:spacing w:after="160"/>
            </w:pPr>
            <w:r>
              <w:rPr>
                <w:rStyle w:val="row-content-rich-text"/>
              </w:rPr>
              <w:t xml:space="preserve">Includes CODE 2</w:t>
            </w:r>
          </w:p>
          <w:p>
            <w:pPr>
              <w:pStyle w:val="ListParagraph"/>
              <w:numPr>
                <w:ilvl w:val="0"/>
                <w:numId w:val="4"/>
              </w:numPr>
            </w:pPr>
            <w:r>
              <w:rPr>
                <w:rStyle w:val="row-content-rich-text"/>
              </w:rPr>
              <w:t xml:space="preserve">Non-binary</w:t>
            </w:r>
          </w:p>
          <w:p>
            <w:pPr>
              <w:spacing w:after="160"/>
            </w:pPr>
            <w:r>
              <w:rPr>
                <w:rStyle w:val="row-content-rich-text"/>
              </w:rPr>
              <w:t xml:space="preserve">Includes CODES 3 and 4 </w:t>
            </w:r>
          </w:p>
          <w:p>
            <w:pPr>
              <w:pStyle w:val="ListParagraph"/>
              <w:numPr>
                <w:ilvl w:val="0"/>
                <w:numId w:val="5"/>
              </w:numPr>
            </w:pPr>
            <w:r>
              <w:rPr>
                <w:rStyle w:val="row-content-rich-text"/>
              </w:rPr>
              <w:t xml:space="preserve">Not stated</w:t>
            </w:r>
          </w:p>
          <w:p>
            <w:pPr/>
            <w:r>
              <w:rPr>
                <w:rStyle w:val="row-content-rich-text"/>
              </w:rPr>
              <w:t xml:space="preserve">Includes CODES 5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 or inadequately described.</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Former versions of this Value Domain contained only three permissible values:</w:t>
            </w:r>
          </w:p>
          <w:p>
            <w:pPr>
              <w:spacing w:after="160"/>
            </w:pPr>
            <w:r>
              <w:rPr>
                <w:rStyle w:val="row-content-rich-text"/>
              </w:rPr>
              <w:t xml:space="preserve">CODE 1   Male</w:t>
            </w:r>
          </w:p>
          <w:p>
            <w:pPr>
              <w:spacing w:after="160"/>
            </w:pPr>
            <w:r>
              <w:rPr>
                <w:rStyle w:val="row-content-rich-text"/>
              </w:rPr>
              <w:t xml:space="preserve">CODE 2   Female</w:t>
            </w:r>
          </w:p>
          <w:p>
            <w:pPr/>
            <w:r>
              <w:rPr>
                <w:rStyle w:val="row-content-rich-text"/>
              </w:rPr>
              <w:t xml:space="preserve">CODE 3   Other (formerly 'Gender other/diverse')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1a4c6ba277764d7e">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abe43995ee6c4a1f">
              <w:r>
                <w:rPr>
                  <w:rStyle w:val="Hyperlink"/>
                </w:rPr>
                <w:t xml:space="preserve">https://www.ag.gov.au/rights-and-protections/publications/australian-government-guidelines-recognition-sex-and-gender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e09c04913f524be2">
              <w:r>
                <w:rPr>
                  <w:rStyle w:val="Hyperlink"/>
                  <w:b/>
                </w:rPr>
                <w:t xml:space="preserve">Gender</w:t>
              </w:r>
            </w:hyperlink>
            <w:r>
              <w:rPr>
                <w:rStyle w:val="row-content-rich-text"/>
              </w:rPr>
              <w:t xml:space="preserve"> is a social and cultural concept. It is about social and cultural differences in identity, expression and experience as a man, boy, woman, girl,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6"/>
              </w:numPr>
            </w:pPr>
            <w:r>
              <w:rPr>
                <w:rStyle w:val="row-content-rich-text"/>
              </w:rPr>
              <w:t xml:space="preserve">Gender identity is about who a person feels themself to be</w:t>
            </w:r>
          </w:p>
          <w:p>
            <w:pPr>
              <w:pStyle w:val="ListParagraph"/>
              <w:numPr>
                <w:ilvl w:val="0"/>
                <w:numId w:val="6"/>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6"/>
              </w:numPr>
            </w:pPr>
            <w:r>
              <w:rPr>
                <w:rStyle w:val="row-content-rich-text"/>
              </w:rPr>
              <w:t xml:space="preserve">Gender experience describes a person's alignment with the sex recorded for them at birth i.e. a cis experience or a trans experience.</w:t>
            </w:r>
          </w:p>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e83275a4c9c4cfa">
              <w:r>
                <w:rPr>
                  <w:rStyle w:val="Hyperlink"/>
                  <w:b/>
                </w:rPr>
                <w:t xml:space="preserve">sex</w:t>
              </w:r>
            </w:hyperlink>
            <w:r>
              <w:rPr>
                <w:rStyle w:val="row-content-rich-text"/>
              </w:rPr>
              <w:t xml:space="preserve"> and gender are interrelated, and are often used interchangeably, however they are distinct concepts:</w:t>
            </w:r>
          </w:p>
          <w:p>
            <w:pPr>
              <w:pStyle w:val="ListParagraph"/>
              <w:numPr>
                <w:ilvl w:val="0"/>
                <w:numId w:val="7"/>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7"/>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The following standard question module is based on that recommended in the Australian Bureau of Statistics </w:t>
            </w:r>
            <w:r>
              <w:rPr>
                <w:rStyle w:val="row-content-rich-text"/>
                <w:i/>
              </w:rPr>
              <w:t xml:space="preserve">Standard for sex, gender, variations of sex characteristics and sexual orientation variables</w:t>
            </w:r>
            <w:r>
              <w:rPr>
                <w:rStyle w:val="row-content-rich-text"/>
              </w:rPr>
              <w:t xml:space="preserve"> (ABS 2021):</w:t>
            </w:r>
          </w:p>
          <w:p>
            <w:pPr>
              <w:spacing w:after="160"/>
            </w:pPr>
            <w:r>
              <w:rPr>
                <w:rStyle w:val="row-content-rich-text"/>
              </w:rPr>
              <w:t xml:space="preserve"> </w:t>
            </w:r>
          </w:p>
          <w:p>
            <w:pPr>
              <w:spacing w:after="160"/>
            </w:pPr>
            <w:r>
              <w:rPr>
                <w:rStyle w:val="row-content-rich-text"/>
              </w:rPr>
              <w:t xml:space="preserve">How [do/does] [you/Person's name/they] describe [your/their] gender?</w:t>
            </w:r>
          </w:p>
          <w:p>
            <w:pPr>
              <w:spacing w:after="160"/>
            </w:pPr>
            <w:r>
              <w:rPr>
                <w:rStyle w:val="row-content-rich-text"/>
              </w:rPr>
              <w:t xml:space="preserve">Gender refers to current gender, which may be different to sex recorded at birth and may be different to what is indicated on legal documents.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Please [tick/mark/select] one box:</w:t>
            </w:r>
            <w:r>
              <w:br/>
            </w:r>
            <w:r>
              <w:rPr>
                <w:rStyle w:val="row-content-rich-text"/>
              </w:rPr>
              <w:t xml:space="preserve">[ ] Man, or boy, or male</w:t>
            </w:r>
            <w:r>
              <w:br/>
            </w:r>
            <w:r>
              <w:rPr>
                <w:rStyle w:val="row-content-rich-text"/>
              </w:rPr>
              <w:t xml:space="preserve">[ ] Woman, or girl, or female</w:t>
            </w:r>
            <w:r>
              <w:br/>
            </w:r>
            <w:r>
              <w:rPr>
                <w:rStyle w:val="row-content-rich-text"/>
              </w:rPr>
              <w:t xml:space="preserve">[ ] Non-binary</w:t>
            </w:r>
            <w:r>
              <w:br/>
            </w:r>
            <w:r>
              <w:rPr>
                <w:rStyle w:val="row-content-rich-text"/>
              </w:rPr>
              <w:t xml:space="preserve">[ ] [I/They] use a different term (please specify)</w:t>
            </w:r>
            <w:r>
              <w:br/>
            </w:r>
            <w:r>
              <w:rPr>
                <w:rStyle w:val="row-content-rich-text"/>
              </w:rPr>
              <w:t xml:space="preserve">[ ] Prefer not to answer</w:t>
            </w:r>
          </w:p>
          <w:p>
            <w:pPr>
              <w:spacing w:after="160"/>
            </w:pPr>
            <w:r>
              <w:rPr>
                <w:rStyle w:val="row-content-rich-text"/>
              </w:rPr>
              <w:t xml:space="preserve"> </w:t>
            </w:r>
          </w:p>
          <w:p>
            <w:r>
              <w:br/>
            </w:r>
            <w:r>
              <w:rPr>
                <w:rStyle w:val="row-content-rich-text"/>
                <w:b/>
              </w:rPr>
              <w:t xml:space="preserve">Mandatory elements</w:t>
            </w:r>
            <w:r>
              <w:br/>
            </w:r>
            <w:r>
              <w:rPr>
                <w:rStyle w:val="row-content-rich-text"/>
              </w:rPr>
              <w:t xml:space="preserve">The following elements must be included:</w:t>
            </w:r>
          </w:p>
          <w:p>
            <w:pPr>
              <w:pStyle w:val="ListParagraph"/>
              <w:numPr>
                <w:ilvl w:val="0"/>
                <w:numId w:val="8"/>
              </w:numPr>
            </w:pPr>
            <w:r>
              <w:rPr>
                <w:rStyle w:val="row-content-rich-text"/>
              </w:rPr>
              <w:t xml:space="preserve">The word 'gender' in the question to clearly articulate the concept being collected</w:t>
            </w:r>
          </w:p>
          <w:p>
            <w:pPr>
              <w:pStyle w:val="ListParagraph"/>
              <w:numPr>
                <w:ilvl w:val="0"/>
                <w:numId w:val="8"/>
              </w:numPr>
            </w:pPr>
            <w:r>
              <w:rPr>
                <w:rStyle w:val="row-content-rich-text"/>
              </w:rPr>
              <w:t xml:space="preserve">Label the response options "Man, or boy, or male", "Woman, or girl, or female", "Non-binary", "[I/they] use a different term (please specify)", and "Prefer not to answer"</w:t>
            </w:r>
          </w:p>
          <w:p>
            <w:pPr>
              <w:pStyle w:val="ListParagraph"/>
              <w:numPr>
                <w:ilvl w:val="0"/>
                <w:numId w:val="8"/>
              </w:numPr>
            </w:pPr>
            <w:r>
              <w:rPr>
                <w:rStyle w:val="row-content-rich-text"/>
              </w:rPr>
              <w:t xml:space="preserve">A write-in facility is available when the "[I/they] use a different term (please specify)" response option is selected</w:t>
            </w:r>
          </w:p>
          <w:p>
            <w:pPr>
              <w:pStyle w:val="ListParagraph"/>
              <w:numPr>
                <w:ilvl w:val="0"/>
                <w:numId w:val="8"/>
              </w:numPr>
            </w:pPr>
            <w:r>
              <w:rPr>
                <w:rStyle w:val="row-content-rich-text"/>
              </w:rPr>
              <w:t xml:space="preserve">Including a note to respondents that "Gender refers to current gender, which may be different to sex recorded at birth and may be different to what is indicated on legal documents"</w:t>
            </w:r>
          </w:p>
          <w:p>
            <w:pPr>
              <w:pStyle w:val="ListParagraph"/>
              <w:numPr>
                <w:ilvl w:val="0"/>
                <w:numId w:val="8"/>
              </w:numPr>
            </w:pPr>
            <w:r>
              <w:rPr>
                <w:rStyle w:val="row-content-rich-text"/>
              </w:rPr>
              <w:t xml:space="preserve">Only one response is permitted</w:t>
            </w:r>
          </w:p>
          <w:p>
            <w:pPr>
              <w:pStyle w:val="ListParagraph"/>
              <w:numPr>
                <w:ilvl w:val="0"/>
                <w:numId w:val="8"/>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 for inclusion:</w:t>
            </w:r>
          </w:p>
          <w:p>
            <w:pPr>
              <w:pStyle w:val="ListParagraph"/>
              <w:numPr>
                <w:ilvl w:val="0"/>
                <w:numId w:val="9"/>
              </w:numPr>
            </w:pPr>
            <w:r>
              <w:rPr>
                <w:rStyle w:val="row-content-rich-text"/>
              </w:rPr>
              <w:t xml:space="preserve">Use inclusive language (e.g. "they" or "their" rather than "he/she" or "his/her")</w:t>
            </w:r>
          </w:p>
          <w:p>
            <w:pPr>
              <w:pStyle w:val="ListParagraph"/>
              <w:numPr>
                <w:ilvl w:val="0"/>
                <w:numId w:val="9"/>
              </w:numPr>
            </w:pPr>
            <w:r>
              <w:rPr>
                <w:rStyle w:val="row-content-rich-text"/>
              </w:rPr>
              <w:t xml:space="preserve">If both sex and gender questions are included, ask the sex question first and note that a separate question on gender is also asked </w:t>
            </w:r>
          </w:p>
          <w:p>
            <w:pPr>
              <w:pStyle w:val="ListParagraph"/>
              <w:numPr>
                <w:ilvl w:val="0"/>
                <w:numId w:val="9"/>
              </w:numPr>
            </w:pPr>
            <w:r>
              <w:rPr>
                <w:rStyle w:val="row-content-rich-text"/>
              </w:rPr>
              <w:t xml:space="preserve">If both sex and gender questions are included, ask both on the same page if practical.</w:t>
            </w:r>
          </w:p>
          <w:p>
            <w:pPr>
              <w:spacing w:after="160"/>
            </w:pPr>
            <w:r>
              <w:rPr>
                <w:rStyle w:val="row-content-rich-text"/>
              </w:rPr>
              <w:t xml:space="preserve">The </w:t>
            </w:r>
            <w:r>
              <w:rPr>
                <w:rStyle w:val="row-content-rich-text"/>
                <w:i/>
              </w:rPr>
              <w:t xml:space="preserve">Australian Government Guidelines on the Recognition of Sex and Gender</w:t>
            </w:r>
            <w:r>
              <w:rPr>
                <w:rStyle w:val="row-content-rich-text"/>
              </w:rPr>
              <w:t xml:space="preserve"> recommend "departments and agencies should refrain from making assumptions about a person's sex and/or gender identity based on indicators such as their name, voice or appearance" (AGD 2015.)</w:t>
            </w:r>
          </w:p>
          <w:p>
            <w:pPr>
              <w:spacing w:after="160"/>
            </w:pPr>
            <w:r>
              <w:rPr>
                <w:rStyle w:val="row-content-rich-text"/>
              </w:rPr>
              <w:t xml:space="preserve">The inclusion of the write-in facility for 'Different term' as a response option recognises that there are a range of terms used to describe gender which is neither male nor female, and enhances data quality. Where the "Different term" code has been selected for gender, the data element </w:t>
            </w:r>
            <w:hyperlink w:history="true" r:id="R4149977d60f5446b">
              <w:r>
                <w:rPr>
                  <w:rStyle w:val="Hyperlink"/>
                </w:rPr>
                <w:t xml:space="preserve">Person—gender, text X[X(99)]</w:t>
              </w:r>
            </w:hyperlink>
            <w:r>
              <w:rPr>
                <w:rStyle w:val="row-content-rich-text"/>
              </w:rPr>
              <w:t xml:space="preserve"> may be used to capture any further (optional) specification of gender descriptors.</w:t>
            </w:r>
          </w:p>
          <w:p>
            <w:pPr>
              <w:spacing w:after="160"/>
            </w:pPr>
            <w:r>
              <w:rPr>
                <w:rStyle w:val="row-content-rich-text"/>
              </w:rPr>
              <w:t xml:space="preserve">Note: Where written responses for CODE 4 (T) 'Different term' indicate a variation of one of 'Man, or boy, or male', 'Woman, or girl, or female' or 'Non-binary', those responses may be coded to the associated label.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7c7f2a3aa9684263">
              <w:r>
                <w:rPr>
                  <w:rStyle w:val="Hyperlink"/>
                </w:rPr>
                <w:t xml:space="preserve">https://www.abs.gov.au/statistics/standards/standard-sex-gender-variations-sex-characteristics-and-sexual-orientation-variables/latest-release </w:t>
              </w:r>
            </w:hyperlink>
          </w:p>
          <w:p>
            <w:pPr/>
            <w:r>
              <w:rPr>
                <w:rStyle w:val="row-content-rich-text"/>
              </w:rPr>
              <w:t xml:space="preserve">AGD (Attorney-General's Department) 2015. Australian Government Guidelines on the Recognition of Sex and Gender, viewed 6 October 2021 </w:t>
            </w:r>
            <w:hyperlink w:history="true" r:id="Rea1a482953b74b8a">
              <w:r>
                <w:rPr>
                  <w:rStyle w:val="Hyperlink"/>
                </w:rPr>
                <w:t xml:space="preserve">https://www.ag.gov.au/rights-and-protections/publications/australian-government-guidelines-recognition-sex-and-gender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e6914a4bd74681">
              <w:r>
                <w:rPr>
                  <w:rStyle w:val="Hyperlink"/>
                </w:rPr>
                <w:t xml:space="preserve">Person—gender, code X</w:t>
              </w:r>
            </w:hyperlink>
          </w:p>
          <w:p>
            <w:pPr>
              <w:pStyle w:val="registration-status"/>
              <w:spacing w:before="0" w:after="0"/>
            </w:pPr>
            <w:hyperlink w:history="true" r:id="Ree377883915c4852">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2482a7c4370c4da5">
              <w:r>
                <w:rPr>
                  <w:rStyle w:val="Hyperlink"/>
                </w:rPr>
                <w:t xml:space="preserve">Person—gender, text X[X(99)]</w:t>
              </w:r>
            </w:hyperlink>
          </w:p>
          <w:p>
            <w:pPr>
              <w:pStyle w:val="registration-status"/>
              <w:spacing w:before="0" w:after="0"/>
            </w:pPr>
            <w:hyperlink w:history="true" r:id="R494be784d00241a6">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1aa12f3a1f5143a6">
              <w:r>
                <w:rPr>
                  <w:rStyle w:val="Hyperlink"/>
                </w:rPr>
                <w:t xml:space="preserve">Person—sex, code X</w:t>
              </w:r>
            </w:hyperlink>
          </w:p>
          <w:p>
            <w:pPr>
              <w:pStyle w:val="registration-status"/>
              <w:spacing w:before="0" w:after="0"/>
            </w:pPr>
            <w:hyperlink w:history="true" r:id="Rf90979afce1b41ee">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1ba8f1691b3246da">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3097466a724335">
              <w:r>
                <w:rPr>
                  <w:rStyle w:val="Hyperlink"/>
                </w:rPr>
                <w:t xml:space="preserve">Admitted patient care NMDS 2022–23</w:t>
              </w:r>
            </w:hyperlink>
          </w:p>
          <w:p>
            <w:pPr>
              <w:pStyle w:val="registration-status"/>
              <w:spacing w:before="0" w:after="0"/>
            </w:pPr>
            <w:hyperlink w:history="true" r:id="R3a28f8addcaf48d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70e44d91f7244112">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r>
              <w:br/>
            </w:r>
            <w:r>
              <w:rPr>
                <w:rStyle w:val="row-content"/>
              </w:rPr>
              <w:t xml:space="preserve"> </w:t>
            </w:r>
          </w:p>
          <w:p>
            <w:r>
              <w:br/>
            </w:r>
            <w:r>
              <w:br/>
            </w:r>
            <w:hyperlink w:history="true" r:id="R88ae496d1b9b4a50">
              <w:r>
                <w:rPr>
                  <w:rStyle w:val="Hyperlink"/>
                </w:rPr>
                <w:t xml:space="preserve">Alcohol and other drug treatment services NBEDS 2022–23</w:t>
              </w:r>
            </w:hyperlink>
          </w:p>
          <w:p>
            <w:pPr>
              <w:pStyle w:val="registration-status"/>
              <w:spacing w:before="0" w:after="0"/>
            </w:pPr>
            <w:hyperlink w:history="true" r:id="Rdad53eb3b818401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2cfec4fe4bb4ef2">
              <w:r>
                <w:rPr>
                  <w:rStyle w:val="Hyperlink"/>
                </w:rPr>
                <w:t xml:space="preserve">Emergency service care NBEDS 2022–23</w:t>
              </w:r>
            </w:hyperlink>
          </w:p>
          <w:p>
            <w:pPr>
              <w:pStyle w:val="registration-status"/>
              <w:spacing w:before="0" w:after="0"/>
            </w:pPr>
            <w:hyperlink w:history="true" r:id="R4882c27ab9924d8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0ca90d146668443c">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19255b57e60b4290">
              <w:r>
                <w:rPr>
                  <w:rStyle w:val="Hyperlink"/>
                </w:rPr>
                <w:t xml:space="preserve">Non-admitted patient emergency department care NMDS 2022–23</w:t>
              </w:r>
            </w:hyperlink>
          </w:p>
          <w:p>
            <w:pPr>
              <w:pStyle w:val="registration-status"/>
              <w:spacing w:before="0" w:after="0"/>
            </w:pPr>
            <w:hyperlink w:history="true" r:id="R7e3e15f8e8f0468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943c37d753f14382">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43f0c71a371a4133">
              <w:r>
                <w:rPr>
                  <w:rStyle w:val="Hyperlink"/>
                </w:rPr>
                <w:t xml:space="preserve">Non-admitted patient NBEDS 2022–23</w:t>
              </w:r>
            </w:hyperlink>
          </w:p>
          <w:p>
            <w:pPr>
              <w:pStyle w:val="registration-status"/>
              <w:spacing w:before="0" w:after="0"/>
            </w:pPr>
            <w:hyperlink w:history="true" r:id="R0fe12dfbde10441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eb00cb0a3f684505">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p>
        </w:tc>
      </w:tr>
    </w:tbl>
    <w:p/>
    <w:tbl>
      <w:tblPr>
        <w:tblStyle w:val="TableGrid"/>
        <w:tblW w:w="0" w:type="auto"/>
      </w:tblPr>
    </w:tbl>
    <w:p>
      <w:r>
        <w:br/>
      </w:r>
    </w:p>
    <w:sectPr>
      <w:footerReference xmlns:r="http://schemas.openxmlformats.org/officeDocument/2006/relationships" w:type="default" r:id="R2a231eee8ab0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fab4731df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31eee8ab04f97" /><Relationship Type="http://schemas.openxmlformats.org/officeDocument/2006/relationships/header" Target="/word/header1.xml" Id="Red9424bfb0d64485" /><Relationship Type="http://schemas.openxmlformats.org/officeDocument/2006/relationships/settings" Target="/word/settings.xml" Id="R887fffdc047945fb" /><Relationship Type="http://schemas.openxmlformats.org/officeDocument/2006/relationships/styles" Target="/word/styles.xml" Id="R6435fd4d36384dfe" /><Relationship Type="http://schemas.openxmlformats.org/officeDocument/2006/relationships/numbering" Target="/word/numbering.xml" Id="Rcce6336593424be4" /><Relationship Type="http://schemas.openxmlformats.org/officeDocument/2006/relationships/hyperlink" Target="https://meteor-uat.aihw.gov.au/RegistrationAuthority/14" TargetMode="External" Id="R2074156160bf4d23" /><Relationship Type="http://schemas.openxmlformats.org/officeDocument/2006/relationships/hyperlink" Target="https://meteor-uat.aihw.gov.au/content/750032" TargetMode="External" Id="Rf6d14bf856374f8b" /><Relationship Type="http://schemas.openxmlformats.org/officeDocument/2006/relationships/hyperlink" Target="https://meteor-uat.aihw.gov.au/content/741822" TargetMode="External" Id="Rb824503e32ef43b0" /><Relationship Type="http://schemas.openxmlformats.org/officeDocument/2006/relationships/hyperlink" Target="https://meteor-uat.aihw.gov.au/content/741825" TargetMode="External" Id="Ra5f48df40cc249b1" /><Relationship Type="http://schemas.openxmlformats.org/officeDocument/2006/relationships/hyperlink" Target="https://meteor-uat.aihw.gov.au/content/750032" TargetMode="External" Id="R026305d0c4cf40d0" /><Relationship Type="http://schemas.openxmlformats.org/officeDocument/2006/relationships/hyperlink" Target="https://www.abs.gov.au/statistics/standards/standard-sex-gender-variations-sex-characteristics-and-sexual-orientation-variables/latest-release" TargetMode="External" Id="R1a4c6ba277764d7e" /><Relationship Type="http://schemas.openxmlformats.org/officeDocument/2006/relationships/hyperlink" Target="https://www.ag.gov.au/rights-and-protections/publications/australian-government-guidelines-recognition-sex-and-gender" TargetMode="External" Id="Rabe43995ee6c4a1f" /><Relationship Type="http://schemas.openxmlformats.org/officeDocument/2006/relationships/hyperlink" Target="https://meteor-uat.aihw.gov.au/content/750032" TargetMode="External" Id="Re09c04913f524be2" /><Relationship Type="http://schemas.openxmlformats.org/officeDocument/2006/relationships/hyperlink" Target="https://meteor-uat.aihw.gov.au/content/750030" TargetMode="External" Id="Ree83275a4c9c4cfa" /><Relationship Type="http://schemas.openxmlformats.org/officeDocument/2006/relationships/hyperlink" Target="https://meteor-uat.aihw.gov.au/content/741853" TargetMode="External" Id="R4149977d60f5446b" /><Relationship Type="http://schemas.openxmlformats.org/officeDocument/2006/relationships/hyperlink" Target="https://www.abs.gov.au/statistics/standards/standard-sex-gender-variations-sex-characteristics-and-sexual-orientation-variables/latest-release&amp;nbsp;" TargetMode="External" Id="R7c7f2a3aa9684263" /><Relationship Type="http://schemas.openxmlformats.org/officeDocument/2006/relationships/hyperlink" Target="https://www.ag.gov.au/rights-and-protections/publications/australian-government-guidelines-recognition-sex-and-gender&amp;nbsp;" TargetMode="External" Id="Rea1a482953b74b8a" /><Relationship Type="http://schemas.openxmlformats.org/officeDocument/2006/relationships/hyperlink" Target="https://meteor-uat.aihw.gov.au/content/635994" TargetMode="External" Id="R3ae6914a4bd74681" /><Relationship Type="http://schemas.openxmlformats.org/officeDocument/2006/relationships/hyperlink" Target="https://meteor-uat.aihw.gov.au/RegistrationAuthority/14" TargetMode="External" Id="Ree377883915c4852" /><Relationship Type="http://schemas.openxmlformats.org/officeDocument/2006/relationships/hyperlink" Target="https://meteor-uat.aihw.gov.au/content/741853" TargetMode="External" Id="R2482a7c4370c4da5" /><Relationship Type="http://schemas.openxmlformats.org/officeDocument/2006/relationships/hyperlink" Target="https://meteor-uat.aihw.gov.au/RegistrationAuthority/14" TargetMode="External" Id="R494be784d00241a6" /><Relationship Type="http://schemas.openxmlformats.org/officeDocument/2006/relationships/hyperlink" Target="https://meteor-uat.aihw.gov.au/content/741686" TargetMode="External" Id="R1aa12f3a1f5143a6" /><Relationship Type="http://schemas.openxmlformats.org/officeDocument/2006/relationships/hyperlink" Target="https://meteor-uat.aihw.gov.au/RegistrationAuthority/14" TargetMode="External" Id="Rf90979afce1b41ee" /><Relationship Type="http://schemas.openxmlformats.org/officeDocument/2006/relationships/hyperlink" Target="https://meteor-uat.aihw.gov.au/RegistrationAuthority/4" TargetMode="External" Id="R1ba8f1691b3246da" /><Relationship Type="http://schemas.openxmlformats.org/officeDocument/2006/relationships/hyperlink" Target="https://meteor-uat.aihw.gov.au/content/742173" TargetMode="External" Id="Rc33097466a724335" /><Relationship Type="http://schemas.openxmlformats.org/officeDocument/2006/relationships/hyperlink" Target="https://meteor-uat.aihw.gov.au/RegistrationAuthority/14" TargetMode="External" Id="R3a28f8addcaf48d7" /><Relationship Type="http://schemas.openxmlformats.org/officeDocument/2006/relationships/hyperlink" Target="https://meteor-uat.aihw.gov.au/content/741686" TargetMode="External" Id="R70e44d91f7244112" /><Relationship Type="http://schemas.openxmlformats.org/officeDocument/2006/relationships/hyperlink" Target="https://meteor-uat.aihw.gov.au/content/750307" TargetMode="External" Id="R88ae496d1b9b4a50" /><Relationship Type="http://schemas.openxmlformats.org/officeDocument/2006/relationships/hyperlink" Target="https://meteor-uat.aihw.gov.au/RegistrationAuthority/14" TargetMode="External" Id="Rdad53eb3b8184018" /><Relationship Type="http://schemas.openxmlformats.org/officeDocument/2006/relationships/hyperlink" Target="https://meteor-uat.aihw.gov.au/content/742180" TargetMode="External" Id="Rc2cfec4fe4bb4ef2" /><Relationship Type="http://schemas.openxmlformats.org/officeDocument/2006/relationships/hyperlink" Target="https://meteor-uat.aihw.gov.au/RegistrationAuthority/14" TargetMode="External" Id="R4882c27ab9924d8a" /><Relationship Type="http://schemas.openxmlformats.org/officeDocument/2006/relationships/hyperlink" Target="https://meteor-uat.aihw.gov.au/content/741686" TargetMode="External" Id="R0ca90d146668443c" /><Relationship Type="http://schemas.openxmlformats.org/officeDocument/2006/relationships/hyperlink" Target="https://meteor-uat.aihw.gov.au/content/742184" TargetMode="External" Id="R19255b57e60b4290" /><Relationship Type="http://schemas.openxmlformats.org/officeDocument/2006/relationships/hyperlink" Target="https://meteor-uat.aihw.gov.au/RegistrationAuthority/14" TargetMode="External" Id="R7e3e15f8e8f04688" /><Relationship Type="http://schemas.openxmlformats.org/officeDocument/2006/relationships/hyperlink" Target="https://meteor-uat.aihw.gov.au/content/741686" TargetMode="External" Id="R943c37d753f14382" /><Relationship Type="http://schemas.openxmlformats.org/officeDocument/2006/relationships/hyperlink" Target="https://meteor-uat.aihw.gov.au/content/742186" TargetMode="External" Id="R43f0c71a371a4133" /><Relationship Type="http://schemas.openxmlformats.org/officeDocument/2006/relationships/hyperlink" Target="https://meteor-uat.aihw.gov.au/RegistrationAuthority/14" TargetMode="External" Id="R0fe12dfbde10441c" /><Relationship Type="http://schemas.openxmlformats.org/officeDocument/2006/relationships/hyperlink" Target="https://meteor-uat.aihw.gov.au/content/741686" TargetMode="External" Id="Reb00cb0a3f684505" /></Relationships>
</file>

<file path=word/_rels/header1.xml.rels>&#65279;<?xml version="1.0" encoding="utf-8"?><Relationships xmlns="http://schemas.openxmlformats.org/package/2006/relationships"><Relationship Type="http://schemas.openxmlformats.org/officeDocument/2006/relationships/image" Target="/media/image.png" Id="Rf9ffab4731df43b9" /></Relationships>
</file>