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84ae01859e4cb9" /></Relationships>
</file>

<file path=word/document.xml><?xml version="1.0" encoding="utf-8"?>
<w:document xmlns:r="http://schemas.openxmlformats.org/officeDocument/2006/relationships" xmlns:w="http://schemas.openxmlformats.org/wordprocessingml/2006/main">
  <w:body>
    <w:p>
      <w:pPr>
        <w:pStyle w:val="Title"/>
      </w:pPr>
      <w:r>
        <w:t>Person—sex,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 characteristics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223f3a90646ec">
              <w:r>
                <w:rPr>
                  <w:rStyle w:val="Hyperlink"/>
                  <w:color w:val="244061"/>
                </w:rPr>
                <w:t xml:space="preserve">Health!</w:t>
              </w:r>
            </w:hyperlink>
            <w:r>
              <w:rPr>
                <w:rStyle w:val="row-content"/>
                <w:color w:val="244061"/>
              </w:rPr>
              <w:t xml:space="preserve">, Standard 15/02/2022</w:t>
            </w:r>
          </w:p>
          <w:p>
            <w:pPr>
              <w:spacing w:before="0" w:after="0"/>
            </w:pPr>
            <w:hyperlink w:history="true" r:id="Rc8320f21aa7746ba">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98d26dc802824d8c">
              <w:r>
                <w:rPr>
                  <w:rStyle w:val="Hyperlink"/>
                  <w:b/>
                </w:rPr>
                <w:t xml:space="preserve">sex</w:t>
              </w:r>
            </w:hyperlink>
            <w:r>
              <w:rPr>
                <w:rStyle w:val="row-content-rich-text"/>
              </w:rPr>
              <w:t xml:space="preserve"> of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6b54d609ff40a8">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cf295861341d5">
              <w:r>
                <w:rPr>
                  <w:rStyle w:val="Hyperlink"/>
                  <w:color w:val="244061"/>
                </w:rPr>
                <w:t xml:space="preserve">Health!</w:t>
              </w:r>
            </w:hyperlink>
            <w:r>
              <w:rPr>
                <w:rStyle w:val="row-content"/>
                <w:color w:val="244061"/>
              </w:rPr>
              <w:t xml:space="preserve">, Standard 15/02/2022</w:t>
            </w:r>
          </w:p>
          <w:p>
            <w:pPr>
              <w:spacing w:before="0" w:after="0"/>
            </w:pPr>
            <w:hyperlink w:history="true" r:id="R4917c317283641e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3ff436fe84d24315">
              <w:r>
                <w:rPr>
                  <w:rStyle w:val="Hyperlink"/>
                  <w:b/>
                </w:rPr>
                <w:t xml:space="preserve">sex</w:t>
              </w:r>
            </w:hyperlink>
            <w:r>
              <w:rPr>
                <w:rStyle w:val="row-content-rich-text"/>
              </w:rPr>
              <w:t xml:space="preserve">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d647099c344d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8882b3eccf407e">
              <w:r>
                <w:rPr>
                  <w:rStyle w:val="Hyperlink"/>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4866a64a0ad14fd6">
              <w:r>
                <w:rPr>
                  <w:rStyle w:val="Hyperlink"/>
                </w:rPr>
                <w:t xml:space="preserve">https://www.abs.gov.au/statistics/standards/standard-sex-gender-variations-sex-characteristics-and-sexual-orientation-variables/latest-release</w:t>
              </w:r>
            </w:hyperlink>
          </w:p>
          <w:p>
            <w:pPr/>
            <w:r>
              <w:rPr>
                <w:rStyle w:val="row-content-rich-text"/>
              </w:rPr>
              <w:t xml:space="preserve">AGD (Attorney-General's Department) 2015. Australian Government Guidelines on the Recognition of Sex and Gender, viewed 6 October 2021 </w:t>
            </w:r>
            <w:hyperlink w:history="true" r:id="Rdd9edab4f91e4825">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842462089e4fa9">
              <w:r>
                <w:rPr>
                  <w:rStyle w:val="Hyperlink"/>
                </w:rPr>
                <w:t xml:space="preserve">Sex code 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79029ca9b4708">
              <w:r>
                <w:rPr>
                  <w:rStyle w:val="Hyperlink"/>
                  <w:color w:val="244061"/>
                </w:rPr>
                <w:t xml:space="preserve">Health!</w:t>
              </w:r>
            </w:hyperlink>
            <w:r>
              <w:rPr>
                <w:rStyle w:val="row-content"/>
                <w:color w:val="244061"/>
              </w:rPr>
              <w:t xml:space="preserve">, Standard 15/02/2022</w:t>
            </w:r>
          </w:p>
          <w:p>
            <w:pPr>
              <w:spacing w:before="0" w:after="0"/>
            </w:pPr>
            <w:hyperlink w:history="true" r:id="Rf265c755865f4b8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259a3857824744cf">
              <w:r>
                <w:rPr>
                  <w:rStyle w:val="Hyperlink"/>
                  <w:b/>
                </w:rPr>
                <w:t xml:space="preserve">sex</w:t>
              </w:r>
            </w:hyperlink>
            <w:r>
              <w:rPr>
                <w:rStyle w:val="row-content-rich-text"/>
              </w:rPr>
              <w:t xml:space="preserve"> as based on sex characteristics.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Another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Male</w:t>
            </w:r>
          </w:p>
          <w:p>
            <w:pPr>
              <w:spacing w:after="160"/>
            </w:pPr>
            <w:r>
              <w:rPr>
                <w:rStyle w:val="row-content-rich-text"/>
              </w:rPr>
              <w:t xml:space="preserve">Persons whose sex at birth or infancy was recorded as male, or who reported their sex as male at the time of collection.</w:t>
            </w:r>
          </w:p>
          <w:p>
            <w:pPr>
              <w:spacing w:after="160"/>
            </w:pPr>
            <w:r>
              <w:rPr>
                <w:rStyle w:val="row-content-rich-text"/>
              </w:rPr>
              <w:t xml:space="preserve">CODE 2     Female</w:t>
            </w:r>
          </w:p>
          <w:p>
            <w:pPr>
              <w:spacing w:after="160"/>
            </w:pPr>
            <w:r>
              <w:rPr>
                <w:rStyle w:val="row-content-rich-text"/>
              </w:rPr>
              <w:t xml:space="preserve">Persons whose sex at birth or infancy was recorded as female, or who reported their sex as female at the time of collection.</w:t>
            </w:r>
          </w:p>
          <w:p>
            <w:pPr>
              <w:spacing w:after="160"/>
            </w:pPr>
            <w:r>
              <w:rPr>
                <w:rStyle w:val="row-content-rich-text"/>
              </w:rPr>
              <w:t xml:space="preserve">CODE 3     Another term</w:t>
            </w:r>
          </w:p>
          <w:p>
            <w:pPr>
              <w:spacing w:after="160"/>
            </w:pPr>
            <w:r>
              <w:rPr>
                <w:rStyle w:val="row-content-rich-text"/>
              </w:rPr>
              <w:t xml:space="preserve">Persons whose sex at birth or infancy was recorded as another term (not male or female), or who reported their sex as another term (not male or female) at the time of collection.</w:t>
            </w:r>
          </w:p>
          <w:p>
            <w:pPr>
              <w:spacing w:after="160"/>
            </w:pPr>
            <w:r>
              <w:rPr>
                <w:rStyle w:val="row-content-rich-text"/>
              </w:rPr>
              <w:t xml:space="preserve">The value meaning of "Another term" has been assigned to Code 3 for this value domain, which replaces "Other" and "Intersex or indeterminate" in previous versions of this element. The third option recognises that across Australian jurisdictions and elsewhere there are a range of terms used.</w:t>
            </w:r>
          </w:p>
          <w:p>
            <w:pPr>
              <w:spacing w:after="160"/>
            </w:pPr>
            <w:r>
              <w:rPr>
                <w:rStyle w:val="row-content-rich-text"/>
                <w:b/>
              </w:rPr>
              <w:t xml:space="preserve">Alternative Codes</w:t>
            </w:r>
          </w:p>
          <w:p>
            <w:pPr>
              <w:spacing w:after="160"/>
            </w:pPr>
            <w:r>
              <w:rPr>
                <w:rStyle w:val="row-content-rich-text"/>
              </w:rPr>
              <w:t xml:space="preserve">The Australian Bureau of Statistics (ABS) </w:t>
            </w:r>
            <w:r>
              <w:rPr>
                <w:rStyle w:val="row-content-rich-text"/>
                <w:i/>
              </w:rPr>
              <w:t xml:space="preserve">Standard for sex, gender, variations of sex characteristics and sexual orientation variables</w:t>
            </w:r>
            <w:r>
              <w:rPr>
                <w:rStyle w:val="row-content-rich-text"/>
              </w:rPr>
              <w:t xml:space="preserve"> (ABS 2021) includes the following Alternative Code system:</w:t>
            </w:r>
          </w:p>
          <w:p>
            <w:pPr>
              <w:spacing w:after="160"/>
            </w:pPr>
            <w:r>
              <w:rPr>
                <w:rStyle w:val="row-content-rich-text"/>
              </w:rPr>
              <w:t xml:space="preserve">CODE M     Male</w:t>
            </w:r>
          </w:p>
          <w:p>
            <w:pPr>
              <w:spacing w:after="160"/>
            </w:pPr>
            <w:r>
              <w:rPr>
                <w:rStyle w:val="row-content-rich-text"/>
              </w:rPr>
              <w:t xml:space="preserve">CODE F     Female</w:t>
            </w:r>
          </w:p>
          <w:p>
            <w:pPr>
              <w:spacing w:after="160"/>
            </w:pPr>
            <w:r>
              <w:rPr>
                <w:rStyle w:val="row-content-rich-text"/>
              </w:rPr>
              <w:t xml:space="preserve">CODE X     Another term</w:t>
            </w:r>
          </w:p>
          <w:p>
            <w:pPr/>
            <w:r>
              <w:rPr>
                <w:rStyle w:val="row-content-rich-text"/>
              </w:rPr>
              <w:t xml:space="preserve">These alternate Codes can be mapped to the Codes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sex.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is based upon their sex characteristics, such as their chromosomes, hormones and reproductive organs. While typically based upon the sex characteristics observed and recorded at birth or in infancy, a person's sex can change over the course of their lifetime and may differ from their sex recorded at birth.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50eb0ceecbbf47a0">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7423cc8e8b0c48fd">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0b0948e649f64345">
              <w:r>
                <w:rPr>
                  <w:rStyle w:val="Hyperlink"/>
                  <w:b/>
                </w:rPr>
                <w:t xml:space="preserve">sex</w:t>
              </w:r>
            </w:hyperlink>
            <w:r>
              <w:rPr>
                <w:rStyle w:val="row-content-rich-text"/>
              </w:rPr>
              <w:t xml:space="preserve"> and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47fab52ac39a44fc">
              <w:r>
                <w:rPr>
                  <w:rStyle w:val="Hyperlink"/>
                  <w:b/>
                </w:rPr>
                <w:t xml:space="preserve">gender</w:t>
              </w:r>
            </w:hyperlink>
            <w:r>
              <w:rPr>
                <w:rStyle w:val="row-content-rich-text"/>
              </w:rPr>
              <w:t xml:space="preserve"> are interrelated, and are often used interchangeably, however they are distinct concepts:</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r>
              <w:rPr>
                <w:rStyle w:val="row-content-rich-text"/>
              </w:rPr>
              <w:t xml:space="preserve">“The preferred Australian Government approach is to collect and use gender information. Information regarding sex would ordinarily not be required and should only be collected where there is a legitimate need for that information and it is consistent with Australian Privacy Principle 3.” (AGD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used to collect </w:t>
            </w:r>
            <w:r>
              <w:rPr>
                <w:rStyle w:val="row-content-rich-text"/>
                <w:i/>
              </w:rPr>
              <w:t xml:space="preserve">either </w:t>
            </w:r>
            <w:r>
              <w:rPr>
                <w:rStyle w:val="row-content-rich-text"/>
              </w:rPr>
              <w:t xml:space="preserve">sex recorded at birth </w:t>
            </w:r>
            <w:r>
              <w:rPr>
                <w:rStyle w:val="row-content-rich-text"/>
                <w:i/>
              </w:rPr>
              <w:t xml:space="preserve">or </w:t>
            </w:r>
            <w:r>
              <w:rPr>
                <w:rStyle w:val="row-content-rich-text"/>
              </w:rPr>
              <w:t xml:space="preserve">sex reported at the time of collection. This information should be specified in the Data Set Specific Information in order to provide transparency about which type of data was collected.</w:t>
            </w:r>
          </w:p>
          <w:p>
            <w:pPr>
              <w:spacing w:after="160"/>
            </w:pPr>
            <w:r>
              <w:rPr>
                <w:rStyle w:val="row-content-rich-text"/>
              </w:rPr>
              <w:t xml:space="preserve">The Australian Bureau of Statistics (ABS) </w:t>
            </w:r>
            <w:r>
              <w:rPr>
                <w:rStyle w:val="row-content-rich-text"/>
                <w:i/>
              </w:rPr>
              <w:t xml:space="preserve">Standard for sex, gender, variations of sex characteristics and sexual orientation variables</w:t>
            </w:r>
            <w:r>
              <w:rPr>
                <w:rStyle w:val="row-content-rich-text"/>
              </w:rPr>
              <w:t xml:space="preserve"> (ABS 2021) recommends that where data on sex is collected, the preferred question should relate to sex recorded at birth. Sex recorded at birth refers to what was determined by sex characteristics observed at birth or in infancy. This is an important indicator for statistical analysis in births and deaths, health statistics, calculating fertility rates and deriving counts for cis and trans populations. </w:t>
            </w:r>
          </w:p>
          <w:p>
            <w:pPr>
              <w:spacing w:after="160"/>
            </w:pPr>
            <w:r>
              <w:rPr>
                <w:rStyle w:val="row-content-rich-text"/>
              </w:rPr>
              <w:t xml:space="preserve">A data collection may instead collect data on a person's sex reported at the time of collection, rather than their sex recorded at birth. However, there are advantages of sex recorded at birth as the sex question and further data that can be derived when using sex recorded at birth as the sex question.</w:t>
            </w:r>
          </w:p>
          <w:p>
            <w:pPr>
              <w:spacing w:after="160"/>
            </w:pPr>
            <w:r>
              <w:rPr>
                <w:rStyle w:val="row-content-rich-text"/>
              </w:rPr>
              <w:t xml:space="preserve">Caution should be exercised when comparing counts for sex of a person recorded at birth and the sex of a person reported at the time of collection, as a person's reported sex may change over the course of their lifetime. Also, as the terms sex and gender are often used interchangeably, a respondent might provide a gender response to a sex question.</w:t>
            </w:r>
          </w:p>
          <w:p>
            <w:pPr>
              <w:pStyle w:val="Heading3"/>
            </w:pPr>
            <w:r>
              <w:rPr>
                <w:rStyle w:val="row-content-rich-text"/>
              </w:rPr>
              <w:t xml:space="preserve">Standard questions</w:t>
            </w:r>
          </w:p>
          <w:p>
            <w:pPr>
              <w:pStyle w:val="Heading4"/>
            </w:pPr>
            <w:r>
              <w:rPr>
                <w:rStyle w:val="row-content-rich-text"/>
                <w:b/>
              </w:rPr>
              <w:t xml:space="preserve">Sex recorded at birth</w:t>
            </w:r>
          </w:p>
          <w:p>
            <w:pPr>
              <w:spacing w:after="160"/>
            </w:pPr>
            <w:r>
              <w:rPr>
                <w:rStyle w:val="row-content-rich-text"/>
              </w:rPr>
              <w:t xml:space="preserve">The ABS recommends the following standard question structure:</w:t>
            </w:r>
          </w:p>
          <w:p>
            <w:pPr>
              <w:spacing w:after="160"/>
            </w:pPr>
            <w:r>
              <w:rPr>
                <w:rStyle w:val="row-content-rich-text"/>
              </w:rPr>
              <w:t xml:space="preserve"> </w:t>
            </w:r>
          </w:p>
          <w:p>
            <w:pPr>
              <w:spacing w:after="160"/>
            </w:pPr>
            <w:r>
              <w:rPr>
                <w:rStyle w:val="row-content-rich-text"/>
              </w:rPr>
              <w:t xml:space="preserve">What was [your/Person's name/their] sex recorded at birth?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 Male</w:t>
            </w:r>
          </w:p>
          <w:p>
            <w:pPr>
              <w:spacing w:after="160"/>
            </w:pPr>
            <w:r>
              <w:rPr>
                <w:rStyle w:val="row-content-rich-text"/>
              </w:rPr>
              <w:t xml:space="preserve">[ ] Female</w:t>
            </w:r>
          </w:p>
          <w:p>
            <w:pPr>
              <w:spacing w:after="160"/>
            </w:pPr>
            <w:r>
              <w:rPr>
                <w:rStyle w:val="row-content-rich-text"/>
              </w:rPr>
              <w:t xml:space="preserve">[ ] Another term (please specify)</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must be included:</w:t>
            </w:r>
          </w:p>
          <w:p>
            <w:pPr>
              <w:pStyle w:val="ListParagraph"/>
              <w:numPr>
                <w:ilvl w:val="0"/>
                <w:numId w:val="3"/>
              </w:numPr>
            </w:pPr>
            <w:r>
              <w:rPr>
                <w:rStyle w:val="row-content-rich-text"/>
              </w:rPr>
              <w:t xml:space="preserve">The words "sex recorded at birth" in the question to clearly articulate the concept being collected</w:t>
            </w:r>
          </w:p>
          <w:p>
            <w:pPr>
              <w:pStyle w:val="ListParagraph"/>
              <w:numPr>
                <w:ilvl w:val="0"/>
                <w:numId w:val="3"/>
              </w:numPr>
            </w:pPr>
            <w:r>
              <w:rPr>
                <w:rStyle w:val="row-content-rich-text"/>
              </w:rPr>
              <w:t xml:space="preserve">Label the response options "Male", "Female", and "Another term (please specify)"</w:t>
            </w:r>
          </w:p>
          <w:p>
            <w:pPr>
              <w:pStyle w:val="ListParagraph"/>
              <w:numPr>
                <w:ilvl w:val="0"/>
                <w:numId w:val="3"/>
              </w:numPr>
            </w:pPr>
            <w:r>
              <w:rPr>
                <w:rStyle w:val="row-content-rich-text"/>
              </w:rPr>
              <w:t xml:space="preserve">A write-in facility is available when the "Another term (please specify)" response option is selected </w:t>
            </w:r>
          </w:p>
          <w:p>
            <w:pPr>
              <w:pStyle w:val="ListParagraph"/>
              <w:numPr>
                <w:ilvl w:val="0"/>
                <w:numId w:val="3"/>
              </w:numPr>
            </w:pPr>
            <w:r>
              <w:rPr>
                <w:rStyle w:val="row-content-rich-text"/>
              </w:rPr>
              <w:t xml:space="preserve">Only one response is permitted</w:t>
            </w:r>
          </w:p>
          <w:p>
            <w:pPr>
              <w:pStyle w:val="ListParagraph"/>
              <w:numPr>
                <w:ilvl w:val="0"/>
                <w:numId w:val="3"/>
              </w:numPr>
            </w:pPr>
            <w:r>
              <w:rPr>
                <w:rStyle w:val="row-content-rich-text"/>
              </w:rPr>
              <w:t xml:space="preserve">If this question is interviewer administered, the question must always be asked as written and no assumptions made by the interviewer.</w:t>
            </w:r>
          </w:p>
          <w:p>
            <w:pPr>
              <w:spacing w:after="160"/>
            </w:pPr>
            <w:r>
              <w:rPr>
                <w:rStyle w:val="row-content-rich-text"/>
                <w:b/>
              </w:rPr>
              <w:t xml:space="preserve">Recommended elements</w:t>
            </w:r>
          </w:p>
          <w:p>
            <w:pPr>
              <w:spacing w:after="160"/>
            </w:pPr>
            <w:r>
              <w:rPr>
                <w:rStyle w:val="row-content-rich-text"/>
              </w:rPr>
              <w:t xml:space="preserve">The following elements are recommended:</w:t>
            </w:r>
          </w:p>
          <w:p>
            <w:pPr>
              <w:pStyle w:val="ListParagraph"/>
              <w:numPr>
                <w:ilvl w:val="0"/>
                <w:numId w:val="4"/>
              </w:numPr>
            </w:pPr>
            <w:r>
              <w:rPr>
                <w:rStyle w:val="row-content-rich-text"/>
              </w:rPr>
              <w:t xml:space="preserve">Use inclusive language (e.g. "they" or "their" rather than "he/she" or "his/her")</w:t>
            </w:r>
          </w:p>
          <w:p>
            <w:pPr>
              <w:pStyle w:val="ListParagraph"/>
              <w:numPr>
                <w:ilvl w:val="0"/>
                <w:numId w:val="4"/>
              </w:numPr>
            </w:pPr>
            <w:r>
              <w:rPr>
                <w:rStyle w:val="row-content-rich-text"/>
              </w:rPr>
              <w:t xml:space="preserve">If both sex and gender questions are included, ask the sex question first and note that a separate question on gender is also asked</w:t>
            </w:r>
          </w:p>
          <w:p>
            <w:pPr>
              <w:pStyle w:val="ListParagraph"/>
              <w:numPr>
                <w:ilvl w:val="0"/>
                <w:numId w:val="4"/>
              </w:numPr>
            </w:pPr>
            <w:r>
              <w:rPr>
                <w:rStyle w:val="row-content-rich-text"/>
              </w:rPr>
              <w:t xml:space="preserve">If both sex and gender questions are included, ask both on the same page if practical.</w:t>
            </w:r>
          </w:p>
          <w:p>
            <w:pPr>
              <w:pStyle w:val="Heading4"/>
            </w:pPr>
            <w:r>
              <w:rPr>
                <w:rStyle w:val="row-content-rich-text"/>
                <w:b/>
              </w:rPr>
              <w:t xml:space="preserve">Sex reported at the time of collection</w:t>
            </w:r>
          </w:p>
          <w:p>
            <w:pPr>
              <w:spacing w:after="160"/>
            </w:pPr>
            <w:r>
              <w:rPr>
                <w:rStyle w:val="row-content-rich-text"/>
              </w:rPr>
              <w:t xml:space="preserve">The ABS recommends the following standard question structure:</w:t>
            </w:r>
          </w:p>
          <w:p>
            <w:pPr>
              <w:spacing w:after="160"/>
            </w:pPr>
            <w:r>
              <w:rPr>
                <w:rStyle w:val="row-content-rich-text"/>
              </w:rPr>
              <w:t xml:space="preserve"> </w:t>
            </w:r>
          </w:p>
          <w:p>
            <w:pPr>
              <w:spacing w:after="160"/>
            </w:pPr>
            <w:r>
              <w:rPr>
                <w:rStyle w:val="row-content-rich-text"/>
              </w:rPr>
              <w:t xml:space="preserve">What is [your/Person's name/their] sex?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 Male</w:t>
            </w:r>
          </w:p>
          <w:p>
            <w:pPr>
              <w:spacing w:after="160"/>
            </w:pPr>
            <w:r>
              <w:rPr>
                <w:rStyle w:val="row-content-rich-text"/>
              </w:rPr>
              <w:t xml:space="preserve">[ ] Female</w:t>
            </w:r>
          </w:p>
          <w:p>
            <w:pPr>
              <w:spacing w:after="160"/>
            </w:pPr>
            <w:r>
              <w:rPr>
                <w:rStyle w:val="row-content-rich-text"/>
              </w:rPr>
              <w:t xml:space="preserve">[ ] Another term (please specify)</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must be included:</w:t>
            </w:r>
          </w:p>
          <w:p>
            <w:pPr>
              <w:pStyle w:val="ListParagraph"/>
              <w:numPr>
                <w:ilvl w:val="0"/>
                <w:numId w:val="5"/>
              </w:numPr>
            </w:pPr>
            <w:r>
              <w:rPr>
                <w:rStyle w:val="row-content-rich-text"/>
              </w:rPr>
              <w:t xml:space="preserve">The word "sex" in the question to clearly articulate the concept being collected</w:t>
            </w:r>
          </w:p>
          <w:p>
            <w:pPr>
              <w:pStyle w:val="ListParagraph"/>
              <w:numPr>
                <w:ilvl w:val="0"/>
                <w:numId w:val="5"/>
              </w:numPr>
            </w:pPr>
            <w:r>
              <w:rPr>
                <w:rStyle w:val="row-content-rich-text"/>
              </w:rPr>
              <w:t xml:space="preserve">Label the response options "Male", "Female", and "Another term (please specify)"</w:t>
            </w:r>
          </w:p>
          <w:p>
            <w:pPr>
              <w:pStyle w:val="ListParagraph"/>
              <w:numPr>
                <w:ilvl w:val="0"/>
                <w:numId w:val="5"/>
              </w:numPr>
            </w:pPr>
            <w:r>
              <w:rPr>
                <w:rStyle w:val="row-content-rich-text"/>
              </w:rPr>
              <w:t xml:space="preserve">A write-in facility is available when the "Another term (please specify)" response option is selected</w:t>
            </w:r>
          </w:p>
          <w:p>
            <w:pPr>
              <w:pStyle w:val="ListParagraph"/>
              <w:numPr>
                <w:ilvl w:val="0"/>
                <w:numId w:val="5"/>
              </w:numPr>
            </w:pPr>
            <w:r>
              <w:rPr>
                <w:rStyle w:val="row-content-rich-text"/>
              </w:rPr>
              <w:t xml:space="preserve">Only one response is permitted</w:t>
            </w:r>
          </w:p>
          <w:p>
            <w:pPr>
              <w:pStyle w:val="ListParagraph"/>
              <w:numPr>
                <w:ilvl w:val="0"/>
                <w:numId w:val="5"/>
              </w:numPr>
            </w:pPr>
            <w:r>
              <w:rPr>
                <w:rStyle w:val="row-content-rich-text"/>
              </w:rPr>
              <w:t xml:space="preserve">If this question is interviewer administered, the question must always be asked as written and no assumptions made by the interviewer.</w:t>
            </w:r>
          </w:p>
          <w:p>
            <w:pPr>
              <w:spacing w:after="160"/>
            </w:pPr>
            <w:r>
              <w:rPr>
                <w:rStyle w:val="row-content-rich-text"/>
                <w:b/>
              </w:rPr>
              <w:t xml:space="preserve">Recommended elements</w:t>
            </w:r>
          </w:p>
          <w:p>
            <w:pPr>
              <w:spacing w:after="160"/>
            </w:pPr>
            <w:r>
              <w:rPr>
                <w:rStyle w:val="row-content-rich-text"/>
              </w:rPr>
              <w:t xml:space="preserve">The following elements are recommended for inclusion:</w:t>
            </w:r>
          </w:p>
          <w:p>
            <w:pPr>
              <w:pStyle w:val="ListParagraph"/>
              <w:numPr>
                <w:ilvl w:val="0"/>
                <w:numId w:val="6"/>
              </w:numPr>
            </w:pPr>
            <w:r>
              <w:rPr>
                <w:rStyle w:val="row-content-rich-text"/>
              </w:rPr>
              <w:t xml:space="preserve">Use inclusive language (e.g. "they" or "their" rather than "he/she" or "his/her")</w:t>
            </w:r>
          </w:p>
          <w:p>
            <w:pPr>
              <w:pStyle w:val="ListParagraph"/>
              <w:numPr>
                <w:ilvl w:val="0"/>
                <w:numId w:val="6"/>
              </w:numPr>
            </w:pPr>
            <w:r>
              <w:rPr>
                <w:rStyle w:val="row-content-rich-text"/>
              </w:rPr>
              <w:t xml:space="preserve">If both sex and gender questions are included, ask the sex question first and note that a separate question on gender is also asked </w:t>
            </w:r>
          </w:p>
          <w:p>
            <w:pPr>
              <w:pStyle w:val="ListParagraph"/>
              <w:numPr>
                <w:ilvl w:val="0"/>
                <w:numId w:val="6"/>
              </w:numPr>
            </w:pPr>
            <w:r>
              <w:rPr>
                <w:rStyle w:val="row-content-rich-text"/>
              </w:rPr>
              <w:t xml:space="preserve">If both sex and gender questions are included, ask both on the same page if practical.</w:t>
            </w:r>
          </w:p>
          <w:p>
            <w:pPr>
              <w:spacing w:after="160"/>
            </w:pPr>
            <w:r>
              <w:rPr>
                <w:rStyle w:val="row-content-rich-text"/>
              </w:rPr>
              <w:t xml:space="preserve">The </w:t>
            </w:r>
            <w:r>
              <w:rPr>
                <w:rStyle w:val="row-content-rich-text"/>
                <w:i/>
              </w:rPr>
              <w:t xml:space="preserve">Australian Government Guidelines on the Recognition of Sex and Gender</w:t>
            </w:r>
            <w:r>
              <w:rPr>
                <w:rStyle w:val="row-content-rich-text"/>
              </w:rPr>
              <w:t xml:space="preserve"> recommend "departments and agencies should refrain from making assumptions about a person's sex and/or gender identity based on indicators such as their name, voice or appearance" (AGD 2015.)</w:t>
            </w:r>
          </w:p>
          <w:p>
            <w:pPr/>
            <w:r>
              <w:rPr>
                <w:rStyle w:val="row-content-rich-text"/>
              </w:rPr>
              <w:t xml:space="preserve">The inclusion of the write-in facility for "Another term" as a third response option recognises that there are a range of terms used to describe sex which is neither male nor female, and enhances data quality. Where the "Another term" code has been selected for sex, the data element </w:t>
            </w:r>
            <w:hyperlink w:history="true" r:id="R98417c5ae7b74ec3">
              <w:r>
                <w:rPr>
                  <w:rStyle w:val="Hyperlink"/>
                </w:rPr>
                <w:t xml:space="preserve">Person—sex, text X[X(99)]</w:t>
              </w:r>
            </w:hyperlink>
            <w:r>
              <w:rPr>
                <w:rStyle w:val="row-content-rich-text"/>
              </w:rPr>
              <w:t xml:space="preserve"> may be used to capture any further (optional) specification of sex descriptors.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this data element is used to record sex reported at the time of collection, the data may not be used to derive cis and trans counts through the 'two-step method'.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25 February 2021 </w:t>
            </w:r>
            <w:hyperlink w:history="true" r:id="R0389066b5da447ac">
              <w:r>
                <w:rPr>
                  <w:rStyle w:val="Hyperlink"/>
                </w:rPr>
                <w:t xml:space="preserve">https://www.abs.gov.au/statistics/standards/standard-sex-gender-variations-sex-characteristics-and-sexual-orientation-variables/latest-release </w:t>
              </w:r>
            </w:hyperlink>
          </w:p>
          <w:p>
            <w:pPr/>
            <w:r>
              <w:rPr>
                <w:rStyle w:val="row-content-rich-text"/>
              </w:rPr>
              <w:t xml:space="preserve">AGD (Attorney-General's Department) 2015. Australian Government Guidelines on the Recognition of Sex and Gender, viewed 26 February 2021</w:t>
            </w:r>
            <w:r>
              <w:br/>
            </w:r>
            <w:hyperlink w:history="true" r:id="Ra78c0529ee58484d">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fd245c6e9b4ba2">
              <w:r>
                <w:rPr>
                  <w:rStyle w:val="Hyperlink"/>
                </w:rPr>
                <w:t xml:space="preserve">Person—sex, code X</w:t>
              </w:r>
            </w:hyperlink>
          </w:p>
          <w:p>
            <w:pPr>
              <w:pStyle w:val="registration-status"/>
              <w:spacing w:before="0" w:after="0"/>
            </w:pPr>
            <w:hyperlink w:history="true" r:id="R06e8c66ec4c74bc0">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8956d9b197e40dd">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77f78b2a48d14cd8">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4afcb5d17fd64008">
              <w:r>
                <w:rPr>
                  <w:rStyle w:val="Hyperlink"/>
                  <w:color w:val="244061"/>
                </w:rPr>
                <w:t xml:space="preserve">Indigenous</w:t>
              </w:r>
            </w:hyperlink>
            <w:r>
              <w:rPr>
                <w:rStyle w:val="row-content"/>
                <w:color w:val="244061"/>
              </w:rPr>
              <w:t xml:space="preserve">, Standard 16/10/2017</w:t>
            </w:r>
          </w:p>
          <w:p>
            <w:r>
              <w:br/>
            </w:r>
            <w:r>
              <w:rPr>
                <w:rStyle w:val="row-content"/>
              </w:rPr>
              <w:t xml:space="preserve">See also </w:t>
            </w:r>
            <w:hyperlink w:history="true" r:id="Rbefcc05114c449a7">
              <w:r>
                <w:rPr>
                  <w:rStyle w:val="Hyperlink"/>
                </w:rPr>
                <w:t xml:space="preserve">Person—gender, code X</w:t>
              </w:r>
            </w:hyperlink>
          </w:p>
          <w:p>
            <w:pPr>
              <w:pStyle w:val="registration-status"/>
              <w:spacing w:before="0" w:after="0"/>
            </w:pPr>
            <w:hyperlink w:history="true" r:id="R871338efb25d453b">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7d9b7701a4774e87">
              <w:r>
                <w:rPr>
                  <w:rStyle w:val="Hyperlink"/>
                </w:rPr>
                <w:t xml:space="preserve">Person—sex, text X[X(99)]</w:t>
              </w:r>
            </w:hyperlink>
          </w:p>
          <w:p>
            <w:pPr>
              <w:pStyle w:val="registration-status"/>
              <w:spacing w:before="0" w:after="0"/>
            </w:pPr>
            <w:hyperlink w:history="true" r:id="R10e5e207c3904614">
              <w:r>
                <w:rPr>
                  <w:rStyle w:val="Hyperlink"/>
                  <w:color w:val="244061"/>
                </w:rPr>
                <w:t xml:space="preserve">Health!</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ef1521981c48b7">
              <w:r>
                <w:rPr>
                  <w:rStyle w:val="Hyperlink"/>
                </w:rPr>
                <w:t xml:space="preserve">Activity based funding: Mental health care NBEDS 2022–23</w:t>
              </w:r>
            </w:hyperlink>
          </w:p>
          <w:p>
            <w:pPr>
              <w:pStyle w:val="registration-status"/>
              <w:spacing w:before="0" w:after="0"/>
            </w:pPr>
            <w:hyperlink w:history="true" r:id="R74277a65351c4f7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5206505d51c4416">
              <w:r>
                <w:rPr>
                  <w:rStyle w:val="Hyperlink"/>
                </w:rPr>
                <w:t xml:space="preserve">Admitted patient care NMDS 2022–23</w:t>
              </w:r>
            </w:hyperlink>
          </w:p>
          <w:p>
            <w:pPr>
              <w:pStyle w:val="registration-status"/>
              <w:spacing w:before="0" w:after="0"/>
            </w:pPr>
            <w:hyperlink w:history="true" r:id="R0731819c154b42a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6888e51cc7ec499f">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APC NMDS a person’s sex is understood to be reported as at the time of data collection.</w:t>
            </w:r>
          </w:p>
          <w:p>
            <w:r>
              <w:br/>
            </w:r>
            <w:r>
              <w:br/>
            </w:r>
            <w:hyperlink w:history="true" r:id="R4401c8a863244ce1">
              <w:r>
                <w:rPr>
                  <w:rStyle w:val="Hyperlink"/>
                </w:rPr>
                <w:t xml:space="preserve">Alcohol and other drug treatment services NMDS 2022–23</w:t>
              </w:r>
            </w:hyperlink>
          </w:p>
          <w:p>
            <w:pPr>
              <w:pStyle w:val="registration-status"/>
              <w:spacing w:before="0" w:after="0"/>
            </w:pPr>
            <w:hyperlink w:history="true" r:id="R9ae48c57715a4c1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d3b8f198e1c4ff1">
              <w:r>
                <w:rPr>
                  <w:rStyle w:val="Hyperlink"/>
                </w:rPr>
                <w:t xml:space="preserve">Community mental health care NMDS 2022–23</w:t>
              </w:r>
            </w:hyperlink>
          </w:p>
          <w:p>
            <w:pPr>
              <w:pStyle w:val="registration-status"/>
              <w:spacing w:before="0" w:after="0"/>
            </w:pPr>
            <w:hyperlink w:history="true" r:id="Raa76ab5838f840c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de1b9c0580d437b">
              <w:r>
                <w:rPr>
                  <w:rStyle w:val="Hyperlink"/>
                </w:rPr>
                <w:t xml:space="preserve">Emergency service care NBEDS 2022–23</w:t>
              </w:r>
            </w:hyperlink>
          </w:p>
          <w:p>
            <w:pPr>
              <w:pStyle w:val="registration-status"/>
              <w:spacing w:before="0" w:after="0"/>
            </w:pPr>
            <w:hyperlink w:history="true" r:id="R6f22fd2f2290488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885e98d414294e11">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ESC NBEDS a person’s sex is understood to be reported as at the time of data collection.</w:t>
            </w:r>
          </w:p>
          <w:p>
            <w:r>
              <w:br/>
            </w:r>
            <w:r>
              <w:br/>
            </w:r>
            <w:hyperlink w:history="true" r:id="Rafb9f8d2d6e7498c">
              <w:r>
                <w:rPr>
                  <w:rStyle w:val="Hyperlink"/>
                </w:rPr>
                <w:t xml:space="preserve">National Bowel Cancer Screening Program NBEDS 2022–23</w:t>
              </w:r>
            </w:hyperlink>
          </w:p>
          <w:p>
            <w:pPr>
              <w:pStyle w:val="registration-status"/>
              <w:spacing w:before="0" w:after="0"/>
            </w:pPr>
            <w:hyperlink w:history="true" r:id="Rbb352e639be54da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870cde78aa741f8">
              <w:r>
                <w:rPr>
                  <w:rStyle w:val="Hyperlink"/>
                </w:rPr>
                <w:t xml:space="preserve">Non-admitted patient emergency department care NMDS 2022–23</w:t>
              </w:r>
            </w:hyperlink>
          </w:p>
          <w:p>
            <w:pPr>
              <w:pStyle w:val="registration-status"/>
              <w:spacing w:before="0" w:after="0"/>
            </w:pPr>
            <w:hyperlink w:history="true" r:id="R87561e670f214c5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87391b1a1db0434d">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NAPEDC NMDS a person’s sex is understood to be reported as at the time of data collection.</w:t>
            </w:r>
          </w:p>
          <w:p>
            <w:r>
              <w:br/>
            </w:r>
            <w:r>
              <w:br/>
            </w:r>
            <w:hyperlink w:history="true" r:id="Rdfe653de6eed45b1">
              <w:r>
                <w:rPr>
                  <w:rStyle w:val="Hyperlink"/>
                </w:rPr>
                <w:t xml:space="preserve">Non-admitted patient NBEDS 2022–23</w:t>
              </w:r>
            </w:hyperlink>
          </w:p>
          <w:p>
            <w:pPr>
              <w:pStyle w:val="registration-status"/>
              <w:spacing w:before="0" w:after="0"/>
            </w:pPr>
            <w:hyperlink w:history="true" r:id="Rba5a7ecc33d74789">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d3568a1a793d438c">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NAP NBEDS a person’s sex is understood to be reported as at the time of data collection.</w:t>
            </w:r>
          </w:p>
          <w:p>
            <w:r>
              <w:br/>
            </w:r>
            <w:r>
              <w:br/>
            </w:r>
            <w:hyperlink w:history="true" r:id="R11dbb9ee190542ae">
              <w:r>
                <w:rPr>
                  <w:rStyle w:val="Hyperlink"/>
                </w:rPr>
                <w:t xml:space="preserve">Perinatal NMDS 2022–23</w:t>
              </w:r>
            </w:hyperlink>
          </w:p>
          <w:p>
            <w:pPr>
              <w:pStyle w:val="registration-status"/>
              <w:spacing w:before="0" w:after="0"/>
            </w:pPr>
            <w:hyperlink w:history="true" r:id="Rd2846cdf771b4d9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baby only. In the case of multiple births, this data element should be recorded for each baby born.</w:t>
            </w:r>
          </w:p>
          <w:p>
            <w:r>
              <w:br/>
            </w:r>
            <w:r>
              <w:br/>
            </w:r>
            <w:hyperlink w:history="true" r:id="R7d708ec2bce141b5">
              <w:r>
                <w:rPr>
                  <w:rStyle w:val="Hyperlink"/>
                </w:rPr>
                <w:t xml:space="preserve">Residential mental health care NMDS 2022–23</w:t>
              </w:r>
            </w:hyperlink>
          </w:p>
          <w:p>
            <w:pPr>
              <w:pStyle w:val="registration-status"/>
              <w:spacing w:before="0" w:after="0"/>
            </w:pPr>
            <w:hyperlink w:history="true" r:id="R133c61040efb4ce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65ba10a74844e76">
              <w:r>
                <w:rPr>
                  <w:rStyle w:val="Hyperlink"/>
                </w:rPr>
                <w:t xml:space="preserve">Statistical linkage key 581 cluster</w:t>
              </w:r>
            </w:hyperlink>
          </w:p>
          <w:p>
            <w:pPr>
              <w:pStyle w:val="registration-status"/>
              <w:spacing w:before="0" w:after="0"/>
            </w:pPr>
            <w:hyperlink w:history="true" r:id="R964f9b08eb144af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0c2bc6c0e46c4f8b">
              <w:r>
                <w:rPr>
                  <w:rStyle w:val="Hyperlink"/>
                </w:rPr>
                <w:t xml:space="preserve">Youth Justice Client file cluster</w:t>
              </w:r>
            </w:hyperlink>
          </w:p>
          <w:p>
            <w:pPr>
              <w:pStyle w:val="registration-status"/>
              <w:spacing w:before="0" w:after="0"/>
            </w:pPr>
            <w:hyperlink w:history="true" r:id="R72757f7889e7453d">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285af3529636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d121ff907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af35296364c24" /><Relationship Type="http://schemas.openxmlformats.org/officeDocument/2006/relationships/header" Target="/word/header1.xml" Id="R227e37f260cf49d7" /><Relationship Type="http://schemas.openxmlformats.org/officeDocument/2006/relationships/settings" Target="/word/settings.xml" Id="Ra9f1512b540540f8" /><Relationship Type="http://schemas.openxmlformats.org/officeDocument/2006/relationships/styles" Target="/word/styles.xml" Id="Rdea3f825c91145b3" /><Relationship Type="http://schemas.openxmlformats.org/officeDocument/2006/relationships/numbering" Target="/word/numbering.xml" Id="R2ed6809c395c4522" /><Relationship Type="http://schemas.openxmlformats.org/officeDocument/2006/relationships/hyperlink" Target="https://meteor-uat.aihw.gov.au/RegistrationAuthority/14" TargetMode="External" Id="R42e223f3a90646ec" /><Relationship Type="http://schemas.openxmlformats.org/officeDocument/2006/relationships/hyperlink" Target="https://meteor-uat.aihw.gov.au/RegistrationAuthority/4" TargetMode="External" Id="Rc8320f21aa7746ba" /><Relationship Type="http://schemas.openxmlformats.org/officeDocument/2006/relationships/hyperlink" Target="https://meteor-uat.aihw.gov.au/content/750030" TargetMode="External" Id="R98d26dc802824d8c" /><Relationship Type="http://schemas.openxmlformats.org/officeDocument/2006/relationships/hyperlink" Target="https://meteor-uat.aihw.gov.au/content/741634" TargetMode="External" Id="Rd86b54d609ff40a8" /><Relationship Type="http://schemas.openxmlformats.org/officeDocument/2006/relationships/hyperlink" Target="https://meteor-uat.aihw.gov.au/RegistrationAuthority/14" TargetMode="External" Id="Ra5bcf295861341d5" /><Relationship Type="http://schemas.openxmlformats.org/officeDocument/2006/relationships/hyperlink" Target="https://meteor-uat.aihw.gov.au/RegistrationAuthority/4" TargetMode="External" Id="R4917c317283641e9" /><Relationship Type="http://schemas.openxmlformats.org/officeDocument/2006/relationships/hyperlink" Target="https://meteor-uat.aihw.gov.au/content/750030" TargetMode="External" Id="R3ff436fe84d24315" /><Relationship Type="http://schemas.openxmlformats.org/officeDocument/2006/relationships/hyperlink" Target="https://meteor-uat.aihw.gov.au/content/268955" TargetMode="External" Id="R11d647099c344dcd" /><Relationship Type="http://schemas.openxmlformats.org/officeDocument/2006/relationships/hyperlink" Target="https://meteor-uat.aihw.gov.au/content/741630" TargetMode="External" Id="R318882b3eccf407e" /><Relationship Type="http://schemas.openxmlformats.org/officeDocument/2006/relationships/hyperlink" Target="https://www.abs.gov.au/statistics/standards/standard-sex-gender-variations-sex-characteristics-and-sexual-orientation-variables/latest-release" TargetMode="External" Id="R4866a64a0ad14fd6" /><Relationship Type="http://schemas.openxmlformats.org/officeDocument/2006/relationships/hyperlink" Target="https://www.ag.gov.au/rights-and-protections/publications/australian-government-guidelines-recognition-sex-and-gender" TargetMode="External" Id="Rdd9edab4f91e4825" /><Relationship Type="http://schemas.openxmlformats.org/officeDocument/2006/relationships/hyperlink" Target="https://meteor-uat.aihw.gov.au/content/741636" TargetMode="External" Id="R1b842462089e4fa9" /><Relationship Type="http://schemas.openxmlformats.org/officeDocument/2006/relationships/hyperlink" Target="https://meteor-uat.aihw.gov.au/RegistrationAuthority/14" TargetMode="External" Id="R19b79029ca9b4708" /><Relationship Type="http://schemas.openxmlformats.org/officeDocument/2006/relationships/hyperlink" Target="https://meteor-uat.aihw.gov.au/RegistrationAuthority/4" TargetMode="External" Id="Rf265c755865f4b87" /><Relationship Type="http://schemas.openxmlformats.org/officeDocument/2006/relationships/hyperlink" Target="https://meteor-uat.aihw.gov.au/content/750030" TargetMode="External" Id="R259a3857824744cf" /><Relationship Type="http://schemas.openxmlformats.org/officeDocument/2006/relationships/hyperlink" Target="https://www.abs.gov.au/statistics/standards/standard-sex-gender-variations-sex-characteristics-and-sexual-orientation-variables/latest-release" TargetMode="External" Id="R50eb0ceecbbf47a0" /><Relationship Type="http://schemas.openxmlformats.org/officeDocument/2006/relationships/hyperlink" Target="https://www.ag.gov.au/rights-and-protections/publications/australian-government-guidelines-recognition-sex-and-gender" TargetMode="External" Id="R7423cc8e8b0c48fd" /><Relationship Type="http://schemas.openxmlformats.org/officeDocument/2006/relationships/hyperlink" Target="https://meteor-uat.aihw.gov.au/content/750030" TargetMode="External" Id="R0b0948e649f64345" /><Relationship Type="http://schemas.openxmlformats.org/officeDocument/2006/relationships/hyperlink" Target="https://meteor-uat.aihw.gov.au/content/750032" TargetMode="External" Id="R47fab52ac39a44fc" /><Relationship Type="http://schemas.openxmlformats.org/officeDocument/2006/relationships/hyperlink" Target="https://meteor-uat.aihw.gov.au/content/741731" TargetMode="External" Id="R98417c5ae7b74ec3" /><Relationship Type="http://schemas.openxmlformats.org/officeDocument/2006/relationships/hyperlink" Target="https://www.abs.gov.au/statistics/standards/standard-sex-gender-variations-sex-characteristics-and-sexual-orientation-variables/latest-release&amp;nbsp;" TargetMode="External" Id="R0389066b5da447ac" /><Relationship Type="http://schemas.openxmlformats.org/officeDocument/2006/relationships/hyperlink" Target="https://www.ag.gov.au/rights-and-protections/publications/australian-government-guidelines-recognition-sex-and-gender" TargetMode="External" Id="Ra78c0529ee58484d" /><Relationship Type="http://schemas.openxmlformats.org/officeDocument/2006/relationships/hyperlink" Target="https://meteor-uat.aihw.gov.au/content/635126" TargetMode="External" Id="R9cfd245c6e9b4ba2" /><Relationship Type="http://schemas.openxmlformats.org/officeDocument/2006/relationships/hyperlink" Target="https://meteor-uat.aihw.gov.au/RegistrationAuthority/15" TargetMode="External" Id="R06e8c66ec4c74bc0" /><Relationship Type="http://schemas.openxmlformats.org/officeDocument/2006/relationships/hyperlink" Target="https://meteor-uat.aihw.gov.au/RegistrationAuthority/14" TargetMode="External" Id="R78956d9b197e40dd" /><Relationship Type="http://schemas.openxmlformats.org/officeDocument/2006/relationships/hyperlink" Target="https://meteor-uat.aihw.gov.au/RegistrationAuthority/16" TargetMode="External" Id="R77f78b2a48d14cd8" /><Relationship Type="http://schemas.openxmlformats.org/officeDocument/2006/relationships/hyperlink" Target="https://meteor-uat.aihw.gov.au/RegistrationAuthority/9" TargetMode="External" Id="R4afcb5d17fd64008" /><Relationship Type="http://schemas.openxmlformats.org/officeDocument/2006/relationships/hyperlink" Target="https://meteor-uat.aihw.gov.au/content/741842" TargetMode="External" Id="Rbefcc05114c449a7" /><Relationship Type="http://schemas.openxmlformats.org/officeDocument/2006/relationships/hyperlink" Target="https://meteor-uat.aihw.gov.au/RegistrationAuthority/14" TargetMode="External" Id="R871338efb25d453b" /><Relationship Type="http://schemas.openxmlformats.org/officeDocument/2006/relationships/hyperlink" Target="https://meteor-uat.aihw.gov.au/content/741731" TargetMode="External" Id="R7d9b7701a4774e87" /><Relationship Type="http://schemas.openxmlformats.org/officeDocument/2006/relationships/hyperlink" Target="https://meteor-uat.aihw.gov.au/RegistrationAuthority/14" TargetMode="External" Id="R10e5e207c3904614" /><Relationship Type="http://schemas.openxmlformats.org/officeDocument/2006/relationships/hyperlink" Target="https://meteor-uat.aihw.gov.au/content/742188" TargetMode="External" Id="Rbaef1521981c48b7" /><Relationship Type="http://schemas.openxmlformats.org/officeDocument/2006/relationships/hyperlink" Target="https://meteor-uat.aihw.gov.au/RegistrationAuthority/14" TargetMode="External" Id="R74277a65351c4f79" /><Relationship Type="http://schemas.openxmlformats.org/officeDocument/2006/relationships/hyperlink" Target="https://meteor-uat.aihw.gov.au/content/742173" TargetMode="External" Id="R65206505d51c4416" /><Relationship Type="http://schemas.openxmlformats.org/officeDocument/2006/relationships/hyperlink" Target="https://meteor-uat.aihw.gov.au/RegistrationAuthority/14" TargetMode="External" Id="R0731819c154b42ad" /><Relationship Type="http://schemas.openxmlformats.org/officeDocument/2006/relationships/hyperlink" Target="https://meteor-uat.aihw.gov.au/content/741842" TargetMode="External" Id="R6888e51cc7ec499f" /><Relationship Type="http://schemas.openxmlformats.org/officeDocument/2006/relationships/hyperlink" Target="https://meteor-uat.aihw.gov.au/content/742035" TargetMode="External" Id="R4401c8a863244ce1" /><Relationship Type="http://schemas.openxmlformats.org/officeDocument/2006/relationships/hyperlink" Target="https://meteor-uat.aihw.gov.au/RegistrationAuthority/14" TargetMode="External" Id="R9ae48c57715a4c13" /><Relationship Type="http://schemas.openxmlformats.org/officeDocument/2006/relationships/hyperlink" Target="https://meteor-uat.aihw.gov.au/content/742040" TargetMode="External" Id="R4d3b8f198e1c4ff1" /><Relationship Type="http://schemas.openxmlformats.org/officeDocument/2006/relationships/hyperlink" Target="https://meteor-uat.aihw.gov.au/RegistrationAuthority/14" TargetMode="External" Id="Raa76ab5838f840c8" /><Relationship Type="http://schemas.openxmlformats.org/officeDocument/2006/relationships/hyperlink" Target="https://meteor-uat.aihw.gov.au/content/742180" TargetMode="External" Id="Rcde1b9c0580d437b" /><Relationship Type="http://schemas.openxmlformats.org/officeDocument/2006/relationships/hyperlink" Target="https://meteor-uat.aihw.gov.au/RegistrationAuthority/14" TargetMode="External" Id="R6f22fd2f22904884" /><Relationship Type="http://schemas.openxmlformats.org/officeDocument/2006/relationships/hyperlink" Target="https://meteor-uat.aihw.gov.au/content/741842" TargetMode="External" Id="R885e98d414294e11" /><Relationship Type="http://schemas.openxmlformats.org/officeDocument/2006/relationships/hyperlink" Target="https://meteor-uat.aihw.gov.au/content/742048" TargetMode="External" Id="Rafb9f8d2d6e7498c" /><Relationship Type="http://schemas.openxmlformats.org/officeDocument/2006/relationships/hyperlink" Target="https://meteor-uat.aihw.gov.au/RegistrationAuthority/14" TargetMode="External" Id="Rbb352e639be54da7" /><Relationship Type="http://schemas.openxmlformats.org/officeDocument/2006/relationships/hyperlink" Target="https://meteor-uat.aihw.gov.au/content/742184" TargetMode="External" Id="R9870cde78aa741f8" /><Relationship Type="http://schemas.openxmlformats.org/officeDocument/2006/relationships/hyperlink" Target="https://meteor-uat.aihw.gov.au/RegistrationAuthority/14" TargetMode="External" Id="R87561e670f214c5b" /><Relationship Type="http://schemas.openxmlformats.org/officeDocument/2006/relationships/hyperlink" Target="https://meteor-uat.aihw.gov.au/content/741842" TargetMode="External" Id="R87391b1a1db0434d" /><Relationship Type="http://schemas.openxmlformats.org/officeDocument/2006/relationships/hyperlink" Target="https://meteor-uat.aihw.gov.au/content/742186" TargetMode="External" Id="Rdfe653de6eed45b1" /><Relationship Type="http://schemas.openxmlformats.org/officeDocument/2006/relationships/hyperlink" Target="https://meteor-uat.aihw.gov.au/RegistrationAuthority/14" TargetMode="External" Id="Rba5a7ecc33d74789" /><Relationship Type="http://schemas.openxmlformats.org/officeDocument/2006/relationships/hyperlink" Target="https://meteor-uat.aihw.gov.au/content/741842" TargetMode="External" Id="Rd3568a1a793d438c" /><Relationship Type="http://schemas.openxmlformats.org/officeDocument/2006/relationships/hyperlink" Target="https://meteor-uat.aihw.gov.au/content/742052" TargetMode="External" Id="R11dbb9ee190542ae" /><Relationship Type="http://schemas.openxmlformats.org/officeDocument/2006/relationships/hyperlink" Target="https://meteor-uat.aihw.gov.au/RegistrationAuthority/14" TargetMode="External" Id="Rd2846cdf771b4d9e" /><Relationship Type="http://schemas.openxmlformats.org/officeDocument/2006/relationships/hyperlink" Target="https://meteor-uat.aihw.gov.au/content/742165" TargetMode="External" Id="R7d708ec2bce141b5" /><Relationship Type="http://schemas.openxmlformats.org/officeDocument/2006/relationships/hyperlink" Target="https://meteor-uat.aihw.gov.au/RegistrationAuthority/14" TargetMode="External" Id="R133c61040efb4ced" /><Relationship Type="http://schemas.openxmlformats.org/officeDocument/2006/relationships/hyperlink" Target="https://meteor-uat.aihw.gov.au/content/750410" TargetMode="External" Id="R565ba10a74844e76" /><Relationship Type="http://schemas.openxmlformats.org/officeDocument/2006/relationships/hyperlink" Target="https://meteor-uat.aihw.gov.au/RegistrationAuthority/14" TargetMode="External" Id="R964f9b08eb144af3" /><Relationship Type="http://schemas.openxmlformats.org/officeDocument/2006/relationships/hyperlink" Target="https://meteor-uat.aihw.gov.au/content/744494" TargetMode="External" Id="R0c2bc6c0e46c4f8b" /><Relationship Type="http://schemas.openxmlformats.org/officeDocument/2006/relationships/hyperlink" Target="https://meteor-uat.aihw.gov.au/RegistrationAuthority/4" TargetMode="External" Id="R72757f7889e7453d" /></Relationships>
</file>

<file path=word/_rels/header1.xml.rels>&#65279;<?xml version="1.0" encoding="utf-8"?><Relationships xmlns="http://schemas.openxmlformats.org/package/2006/relationships"><Relationship Type="http://schemas.openxmlformats.org/officeDocument/2006/relationships/image" Target="/media/image.png" Id="Rea9d121ff90749e4" /></Relationships>
</file>