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c40bfb31e140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de3e741bd4f52">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d000cfbeac425d">
              <w:r>
                <w:rPr>
                  <w:rStyle w:val="Hyperlink"/>
                </w:rPr>
                <w:t xml:space="preserve">National Healthcare Agreement (2022)</w:t>
              </w:r>
            </w:hyperlink>
          </w:p>
          <w:p>
            <w:pPr>
              <w:pStyle w:val="registration-status"/>
              <w:spacing w:before="0" w:after="0"/>
            </w:pPr>
            <w:hyperlink w:history="true" r:id="R78438afae87e40ed">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f4e220b2a44711">
              <w:r>
                <w:rPr>
                  <w:rStyle w:val="Hyperlink"/>
                </w:rPr>
                <w:t xml:space="preserve">Prevention</w:t>
              </w:r>
            </w:hyperlink>
          </w:p>
          <w:p>
            <w:pPr>
              <w:pStyle w:val="registration-status"/>
              <w:spacing w:before="0" w:after="0"/>
            </w:pPr>
            <w:hyperlink w:history="true" r:id="Rfd2ad44770f440b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 (N00–N29):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(including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(including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1832c52948d48fd"/>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be97f5302644b1">
              <w:r>
                <w:rPr>
                  <w:rStyle w:val="Hyperlink"/>
                </w:rPr>
                <w:t xml:space="preserve">Person—underlying cause of death, code (ICD-10 2016 version) ANN{.N}</w:t>
              </w:r>
            </w:hyperlink>
          </w:p>
          <w:p>
            <w:r>
              <w:rPr>
                <w:rStyle w:val="row-content"/>
                <w:b/>
              </w:rPr>
              <w:t xml:space="preserve">Data Source</w:t>
            </w:r>
          </w:p>
          <w:p>
            <w:hyperlink w:history="true" r:id="R1fafb0cc1e0f4e6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population of Australia, total people N[N(7)]</w:t>
            </w:r>
          </w:p>
          <w:p>
            <w:r>
              <w:rPr>
                <w:rStyle w:val="row-content"/>
                <w:b/>
              </w:rPr>
              <w:t xml:space="preserve">Data Source</w:t>
            </w:r>
          </w:p>
          <w:p>
            <w:hyperlink w:history="true" r:id="Rff9bdfab9ad54ddc">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18c0a6f35a84d47">
              <w:r>
                <w:rPr>
                  <w:rStyle w:val="Hyperlink"/>
                </w:rPr>
                <w:t xml:space="preserve">Person—estimated resident population of Australia, total people N[N(7)]</w:t>
              </w:r>
            </w:hyperlink>
          </w:p>
          <w:p>
            <w:r>
              <w:rPr>
                <w:rStyle w:val="row-content"/>
                <w:b/>
              </w:rPr>
              <w:t xml:space="preserve">Data Source</w:t>
            </w:r>
          </w:p>
          <w:p>
            <w:hyperlink w:history="true" r:id="R44584a4961604af9">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(updated for revision to Australian Bureau of Statistics (ABS) causes of death data), 2019, 2020—State and territory (total deaths—all causes only).</w:t>
            </w:r>
          </w:p>
          <w:p>
            <w:pPr>
              <w:spacing w:after="160"/>
            </w:pPr>
            <w:r>
              <w:rPr>
                <w:rStyle w:val="row-content-rich-text"/>
              </w:rPr>
              <w:t xml:space="preserve">2017, 2018 (updated for revision to ABS causes of death data), 2019, 2020—State and territory, by ICD-10 chapter for underlying cause of death (and total).</w:t>
            </w:r>
          </w:p>
          <w:p>
            <w:pPr>
              <w:spacing w:after="160"/>
            </w:pPr>
            <w:r>
              <w:rPr>
                <w:rStyle w:val="row-content-rich-text"/>
              </w:rPr>
              <w:t xml:space="preserve">2016–2020—State and territory, by major cause of death by Indigenous status.</w:t>
            </w:r>
          </w:p>
          <w:p>
            <w:pPr>
              <w:spacing w:after="160"/>
            </w:pPr>
            <w:r>
              <w:rPr>
                <w:rStyle w:val="row-content-rich-text"/>
              </w:rPr>
              <w:t xml:space="preserve">2020—Nationally,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26db1210cf4137">
              <w:r>
                <w:rPr>
                  <w:rStyle w:val="Hyperlink"/>
                </w:rPr>
                <w:t xml:space="preserve">Person—Indigenous status, code N</w:t>
              </w:r>
            </w:hyperlink>
          </w:p>
          <w:p>
            <w:r>
              <w:rPr>
                <w:rStyle w:val="row-content"/>
                <w:b/>
              </w:rPr>
              <w:t xml:space="preserve">Data Source</w:t>
            </w:r>
          </w:p>
          <w:p>
            <w:hyperlink w:history="true" r:id="R3d43c5e71f1b432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d78bcbb538474a">
              <w:r>
                <w:rPr>
                  <w:rStyle w:val="Hyperlink"/>
                </w:rPr>
                <w:t xml:space="preserve">Person—area of usual residence, statistical area level 2 (SA2) code (ASGS 2016) N(9)</w:t>
              </w:r>
            </w:hyperlink>
          </w:p>
          <w:p>
            <w:r>
              <w:rPr>
                <w:rStyle w:val="row-content"/>
                <w:b/>
              </w:rPr>
              <w:t xml:space="preserve">Data Source</w:t>
            </w:r>
          </w:p>
          <w:p>
            <w:hyperlink w:history="true" r:id="Rf33c09aa2d0b47a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b44a283bb30046d1">
              <w:r>
                <w:rPr>
                  <w:rStyle w:val="Hyperlink"/>
                </w:rPr>
                <w:t xml:space="preserve">Person—underlying cause of death, code (ICD-10 2016 version) ANN{.N}</w:t>
              </w:r>
            </w:hyperlink>
          </w:p>
          <w:p>
            <w:r>
              <w:rPr>
                <w:rStyle w:val="row-content"/>
                <w:b/>
              </w:rPr>
              <w:t xml:space="preserve">Data Source</w:t>
            </w:r>
          </w:p>
          <w:p>
            <w:hyperlink w:history="true" r:id="Ra7f50c15d6664c1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w:t>
            </w:r>
          </w:p>
          <w:p>
            <w:pPr>
              <w:pStyle w:val="ListParagraph"/>
              <w:numPr>
                <w:ilvl w:val="0"/>
                <w:numId w:val="4"/>
              </w:numPr>
            </w:pPr>
            <w:r>
              <w:rPr>
                <w:rStyle w:val="row-content-rich-text"/>
              </w:rPr>
              <w:t xml:space="preserve">2020 (total deaths)</w:t>
            </w:r>
          </w:p>
          <w:p>
            <w:pPr>
              <w:pStyle w:val="ListParagraph"/>
              <w:numPr>
                <w:ilvl w:val="0"/>
                <w:numId w:val="4"/>
              </w:numPr>
            </w:pPr>
            <w:r>
              <w:rPr>
                <w:rStyle w:val="row-content-rich-text"/>
              </w:rPr>
              <w:t xml:space="preserve">2020 (cause of death)</w:t>
            </w:r>
          </w:p>
          <w:p>
            <w:pPr>
              <w:pStyle w:val="ListParagraph"/>
              <w:numPr>
                <w:ilvl w:val="0"/>
                <w:numId w:val="4"/>
              </w:numPr>
            </w:pPr>
            <w:r>
              <w:rPr>
                <w:rStyle w:val="row-content-rich-text"/>
              </w:rPr>
              <w:t xml:space="preserve">Aggregated data 2016–2020 (Indigenous status).</w:t>
            </w:r>
          </w:p>
          <w:p>
            <w:pPr>
              <w:spacing w:after="160"/>
            </w:pPr>
            <w:r>
              <w:rPr>
                <w:rStyle w:val="row-content-rich-text"/>
              </w:rPr>
              <w:t xml:space="preserve">Cause of death data are final (2016–2017), revised (2018) and preliminary (2019, 2020).</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fec87e101cb143d4">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f717db67019b46a3">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 2019 and 2020 data are coded using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Data are based on the state or territory of usual residence of the deceased, regardless of where in Australia the death occurred and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spacing w:after="160"/>
            </w:pPr>
            <w:r>
              <w:rPr>
                <w:rStyle w:val="row-content-rich-text"/>
              </w:rPr>
              <w:t xml:space="preserve">Care needs to be taken when interpreting data derived from deaths registered in Victoria. As a result of joint investigations between the ABS and the Victorian Registry 2,739 death registrations from 2017 and 2018 were identified that had not previously been provided to the ABS, and which were in scope of the 2019 reference year. An issue associated with the Registry's previous processing system (replaced in 2019) resulted in delays to the provision of some death registrations to the ABS. A time series adjustment has been applied to deaths due to suicide, assault and accidental drug overdose, which is reflected in the total for External causes of morbidity and mortality (V01-Y98), to enable a more accurate comparison of mortality over time for these causes. When the time series adjustment is applied, affected deaths are presented in the year in which they were registered (i.e. removed from 2019 and added to 2017 or 2018). This adjustment is consistent with that made in </w:t>
            </w:r>
            <w:hyperlink w:history="true" r:id="R28ef3b161cb14a21">
              <w:r>
                <w:rPr>
                  <w:rStyle w:val="Hyperlink"/>
                  <w:i/>
                </w:rPr>
                <w:t xml:space="preserve">Causes of Death, Australia, 2019</w:t>
              </w:r>
            </w:hyperlink>
            <w:r>
              <w:rPr>
                <w:rStyle w:val="row-content-rich-text"/>
              </w:rPr>
              <w:t xml:space="preserve">. Deaths with a usual residence outside Victoria are not affected. The adjustment has been applied to the Victorian and Australian total for the 2017–2019 data. See </w:t>
            </w:r>
            <w:hyperlink w:history="true" r:id="R4e4dbbeb9f654690">
              <w:r>
                <w:rPr>
                  <w:rStyle w:val="Hyperlink"/>
                </w:rPr>
                <w:t xml:space="preserve">Technical note: Victorian additional registrations and time series adjustments</w:t>
              </w:r>
            </w:hyperlink>
            <w:r>
              <w:rPr>
                <w:rStyle w:val="row-content-rich-text"/>
              </w:rPr>
              <w:t xml:space="preserve"> in ABS 2019b.</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jurisdictions or over time, but not between jurisdictions or between jurisdictions and national totals. </w:t>
            </w:r>
          </w:p>
          <w:p>
            <w:pPr>
              <w:spacing w:after="160"/>
            </w:pPr>
            <w:r>
              <w:rPr>
                <w:rStyle w:val="row-content-rich-text"/>
              </w:rPr>
              <w:t xml:space="preserve">Further details about major causes of death among Indigenous Australians are available from the Aboriginal and Torres Strait Islander Health Performance Framework (</w:t>
            </w:r>
            <w:hyperlink w:history="true" r:id="R364f9e45f9724922">
              <w:r>
                <w:rPr>
                  <w:rStyle w:val="Hyperlink"/>
                </w:rPr>
                <w:t xml:space="preserve">measure 1.22: All causes age-standardised death rates</w:t>
              </w:r>
            </w:hyperlink>
            <w:r>
              <w:rPr>
                <w:rStyle w:val="row-content-rich-text"/>
              </w:rPr>
              <w:t xml:space="preserve"> and </w:t>
            </w:r>
            <w:hyperlink w:history="true" r:id="Rd07846a422f04ec9">
              <w:r>
                <w:rPr>
                  <w:rStyle w:val="Hyperlink"/>
                </w:rPr>
                <w:t xml:space="preserve">measure 1.23: Leading causes of mortality</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50450a4c304a4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028e58e0d34b9f">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2de7030bfc445c9">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ce873aa55e664d3c">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6d1962d959e457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f395935545ab47bb">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(Reference period: 2019a). </w:t>
            </w:r>
            <w:r>
              <w:rPr>
                <w:rStyle w:val="row-content-rich-text"/>
                <w:i/>
              </w:rPr>
              <w:t xml:space="preserve">Causes of Death, Australia</w:t>
            </w:r>
            <w:r>
              <w:rPr>
                <w:rStyle w:val="row-content-rich-text"/>
              </w:rPr>
              <w:t xml:space="preserve">. ABS Website. Viewed 22 February 2021, </w:t>
            </w:r>
            <w:hyperlink w:history="true" r:id="R5e6f8fac63314327">
              <w:r>
                <w:rPr>
                  <w:rStyle w:val="Hyperlink"/>
                </w:rPr>
                <w:t xml:space="preserve">https://www.abs.gov.au/statistics/health/causes-death/causes-death-australia/latest-release</w:t>
              </w:r>
            </w:hyperlink>
          </w:p>
          <w:p>
            <w:pPr>
              <w:spacing w:after="160"/>
            </w:pPr>
            <w:r>
              <w:rPr>
                <w:rStyle w:val="row-content-rich-text"/>
              </w:rPr>
              <w:t xml:space="preserve">ABS (Reference period: 2019b). </w:t>
            </w:r>
            <w:r>
              <w:rPr>
                <w:rStyle w:val="row-content-rich-text"/>
                <w:i/>
              </w:rPr>
              <w:t xml:space="preserve">Causes of Death, Australia methodology</w:t>
            </w:r>
            <w:r>
              <w:rPr>
                <w:rStyle w:val="row-content-rich-text"/>
              </w:rPr>
              <w:t xml:space="preserve">. ABS Website. Viewed 25 February 2021, </w:t>
            </w:r>
            <w:hyperlink w:history="true" r:id="R5a3e035f4688445b">
              <w:r>
                <w:rPr>
                  <w:rStyle w:val="Hyperlink"/>
                </w:rPr>
                <w:t xml:space="preserve">https://www.abs.gov.au/methodologies/causes-death-australia-methodology/2019</w:t>
              </w:r>
            </w:hyperlink>
          </w:p>
          <w:p>
            <w:pPr>
              <w:spacing w:after="160"/>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f7bb23ddc1824ed1">
              <w:r>
                <w:rPr>
                  <w:rStyle w:val="Hyperlink"/>
                </w:rPr>
                <w:t xml:space="preserve">https://www.niaa.gov.au/resource-centre/indigenous-affairs/</w:t>
              </w:r>
              <w:r>
                <w:br/>
              </w:r>
              <w:r>
                <w:rPr>
                  <w:rStyle w:val="row-content-rich-text"/>
                </w:rPr>
                <w:t xml:space="preserve">health-performance-framework-2017-report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bf2d82daeaeb40bb">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2c2aaca222455f">
              <w:r>
                <w:rPr>
                  <w:rStyle w:val="Hyperlink"/>
                </w:rPr>
                <w:t xml:space="preserve">National Healthcare Agreement: PI 08–Major causes of death, 2021</w:t>
              </w:r>
            </w:hyperlink>
          </w:p>
          <w:p>
            <w:pPr>
              <w:pStyle w:val="registration-status"/>
              <w:spacing w:before="0" w:after="0"/>
            </w:pPr>
            <w:hyperlink w:history="true" r:id="R2168811ebe1a493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0d8b0c7389d40f4">
              <w:r>
                <w:rPr>
                  <w:rStyle w:val="Hyperlink"/>
                </w:rPr>
                <w:t xml:space="preserve">Australian Health Performance Framework: PI 2.1.6–Potentially avoidable deaths, 2020</w:t>
              </w:r>
            </w:hyperlink>
          </w:p>
          <w:p>
            <w:pPr>
              <w:pStyle w:val="registration-status"/>
              <w:spacing w:before="0" w:after="0"/>
            </w:pPr>
            <w:hyperlink w:history="true" r:id="R28c828706a364d43">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624a6a5794f74c08">
              <w:r>
                <w:rPr>
                  <w:rStyle w:val="Hyperlink"/>
                </w:rPr>
                <w:t xml:space="preserve">Australian Health Performance Framework: PI 3.4.3–Major causes of death, 2020</w:t>
              </w:r>
            </w:hyperlink>
          </w:p>
          <w:p>
            <w:pPr>
              <w:pStyle w:val="registration-status"/>
              <w:spacing w:before="0" w:after="0"/>
            </w:pPr>
            <w:hyperlink w:history="true" r:id="R48624e6bed5f472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744144f77b34189">
              <w:r>
                <w:rPr>
                  <w:rStyle w:val="Hyperlink"/>
                </w:rPr>
                <w:t xml:space="preserve">National Healthcare Agreement: PI 06–Life expectancy, 2022</w:t>
              </w:r>
            </w:hyperlink>
          </w:p>
          <w:p>
            <w:pPr>
              <w:pStyle w:val="registration-status"/>
              <w:spacing w:before="0" w:after="0"/>
            </w:pPr>
            <w:hyperlink w:history="true" r:id="R5c0d39f84425472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657e4a794834f2f">
              <w:r>
                <w:rPr>
                  <w:rStyle w:val="Hyperlink"/>
                </w:rPr>
                <w:t xml:space="preserve">National Healthcare Agreement: PI 07–Infant and young child mortality rate, 2022</w:t>
              </w:r>
            </w:hyperlink>
          </w:p>
          <w:p>
            <w:pPr>
              <w:pStyle w:val="registration-status"/>
              <w:spacing w:before="0" w:after="0"/>
            </w:pPr>
            <w:hyperlink w:history="true" r:id="R9443f511424b44c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7db07c38e534881">
              <w:r>
                <w:rPr>
                  <w:rStyle w:val="Hyperlink"/>
                </w:rPr>
                <w:t xml:space="preserve">National Healthcare Agreement: PI 16–Potentially avoidable deaths, 2022</w:t>
              </w:r>
            </w:hyperlink>
          </w:p>
          <w:p>
            <w:pPr>
              <w:pStyle w:val="registration-status"/>
              <w:spacing w:before="0" w:after="0"/>
            </w:pPr>
            <w:hyperlink w:history="true" r:id="R38b8ea9ce9c3445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3ac67a68abd41b5">
              <w:r>
                <w:rPr>
                  <w:rStyle w:val="Hyperlink"/>
                </w:rPr>
                <w:t xml:space="preserve">National Indigenous Reform Agreement: PI 06-Under five mortality rate by leading cause, 2020</w:t>
              </w:r>
            </w:hyperlink>
          </w:p>
          <w:p>
            <w:pPr>
              <w:pStyle w:val="registration-status"/>
              <w:spacing w:before="0" w:after="0"/>
            </w:pPr>
            <w:hyperlink w:history="true" r:id="R6973e08620de42f8">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37df4787b04e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30aa36b13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f4787b04e40f9" /><Relationship Type="http://schemas.openxmlformats.org/officeDocument/2006/relationships/header" Target="/word/header1.xml" Id="R47d549f78cb0489c" /><Relationship Type="http://schemas.openxmlformats.org/officeDocument/2006/relationships/settings" Target="/word/settings.xml" Id="R0b2e6b84336449e3" /><Relationship Type="http://schemas.openxmlformats.org/officeDocument/2006/relationships/styles" Target="/word/styles.xml" Id="R264a8e1f0b1f4145" /><Relationship Type="http://schemas.openxmlformats.org/officeDocument/2006/relationships/numbering" Target="/word/numbering.xml" Id="R1056f7f4596f48a4" /><Relationship Type="http://schemas.openxmlformats.org/officeDocument/2006/relationships/image" Target="/media/image.jpg" Id="R71832c52948d48fd" /><Relationship Type="http://schemas.openxmlformats.org/officeDocument/2006/relationships/hyperlink" Target="https://meteor-uat.aihw.gov.au/RegistrationAuthority/14" TargetMode="External" Id="R833de3e741bd4f52" /><Relationship Type="http://schemas.openxmlformats.org/officeDocument/2006/relationships/hyperlink" Target="https://meteor-uat.aihw.gov.au/content/740910" TargetMode="External" Id="R0bd000cfbeac425d" /><Relationship Type="http://schemas.openxmlformats.org/officeDocument/2006/relationships/hyperlink" Target="https://meteor-uat.aihw.gov.au/RegistrationAuthority/14" TargetMode="External" Id="R78438afae87e40ed" /><Relationship Type="http://schemas.openxmlformats.org/officeDocument/2006/relationships/hyperlink" Target="https://meteor-uat.aihw.gov.au/content/393136" TargetMode="External" Id="R23f4e220b2a44711" /><Relationship Type="http://schemas.openxmlformats.org/officeDocument/2006/relationships/hyperlink" Target="https://meteor-uat.aihw.gov.au/RegistrationAuthority/14" TargetMode="External" Id="Rfd2ad44770f440b7" /><Relationship Type="http://schemas.openxmlformats.org/officeDocument/2006/relationships/hyperlink" Target="https://meteor-uat.aihw.gov.au/content/719784" TargetMode="External" Id="R38be97f5302644b1" /><Relationship Type="http://schemas.openxmlformats.org/officeDocument/2006/relationships/hyperlink" Target="https://meteor-uat.aihw.gov.au/content/394490" TargetMode="External" Id="R1fafb0cc1e0f4e69" /><Relationship Type="http://schemas.openxmlformats.org/officeDocument/2006/relationships/hyperlink" Target="https://meteor-uat.aihw.gov.au/content/719790" TargetMode="External" Id="Rff9bdfab9ad54ddc" /><Relationship Type="http://schemas.openxmlformats.org/officeDocument/2006/relationships/hyperlink" Target="https://meteor-uat.aihw.gov.au/content/388656" TargetMode="External" Id="R918c0a6f35a84d47" /><Relationship Type="http://schemas.openxmlformats.org/officeDocument/2006/relationships/hyperlink" Target="https://meteor-uat.aihw.gov.au/content/704699" TargetMode="External" Id="R44584a4961604af9" /><Relationship Type="http://schemas.openxmlformats.org/officeDocument/2006/relationships/hyperlink" Target="https://meteor-uat.aihw.gov.au/content/602543" TargetMode="External" Id="R4426db1210cf4137" /><Relationship Type="http://schemas.openxmlformats.org/officeDocument/2006/relationships/hyperlink" Target="https://meteor-uat.aihw.gov.au/content/394490" TargetMode="External" Id="R3d43c5e71f1b4328" /><Relationship Type="http://schemas.openxmlformats.org/officeDocument/2006/relationships/hyperlink" Target="https://meteor-uat.aihw.gov.au/content/659725" TargetMode="External" Id="R60d78bcbb538474a" /><Relationship Type="http://schemas.openxmlformats.org/officeDocument/2006/relationships/hyperlink" Target="https://meteor-uat.aihw.gov.au/content/394490" TargetMode="External" Id="Rf33c09aa2d0b47aa" /><Relationship Type="http://schemas.openxmlformats.org/officeDocument/2006/relationships/hyperlink" Target="https://meteor-uat.aihw.gov.au/content/719784" TargetMode="External" Id="Rb44a283bb30046d1" /><Relationship Type="http://schemas.openxmlformats.org/officeDocument/2006/relationships/hyperlink" Target="https://meteor-uat.aihw.gov.au/content/394490" TargetMode="External" Id="Ra7f50c15d6664c10" /><Relationship Type="http://schemas.openxmlformats.org/officeDocument/2006/relationships/hyperlink" Target="http://www.abs.gov.au/ausstats/abs@.nsf/Lookup/3303.0Technical+Note12013" TargetMode="External" Id="Rfec87e101cb143d4" /><Relationship Type="http://schemas.openxmlformats.org/officeDocument/2006/relationships/hyperlink" Target="https://www.abs.gov.au/AUSSTATS/abs@.nsf/Latestproducts/3303.0Technical Note12018?opendocument&amp;tabname=Notes&amp;prodno=3303.0&amp;issue=2018&amp;num=&amp;view=" TargetMode="External" Id="Rf717db67019b46a3" /><Relationship Type="http://schemas.openxmlformats.org/officeDocument/2006/relationships/hyperlink" Target="https://www.abs.gov.au/statistics/health/causes-death/causes-death-australia/2019" TargetMode="External" Id="R28ef3b161cb14a21" /><Relationship Type="http://schemas.openxmlformats.org/officeDocument/2006/relationships/hyperlink" Target="https://www.abs.gov.au/methodologies/causes-death-australia-methodology/2019#technical-note-victorian-additional-registrations-and-time-series-adjustment" TargetMode="External" Id="R4e4dbbeb9f654690" /><Relationship Type="http://schemas.openxmlformats.org/officeDocument/2006/relationships/hyperlink" Target="https://indigenoushpf.gov.au/measures/1-22-all-causes-age-standardised-death-rates" TargetMode="External" Id="R364f9e45f9724922" /><Relationship Type="http://schemas.openxmlformats.org/officeDocument/2006/relationships/hyperlink" Target="https://indigenoushpf.gov.au/measures/1-23-leading-causes-mortality" TargetMode="External" Id="Rd07846a422f04ec9" /><Relationship Type="http://schemas.openxmlformats.org/officeDocument/2006/relationships/hyperlink" Target="https://meteor-uat.aihw.gov.au/content/392575" TargetMode="External" Id="Rb050450a4c304a4b" /><Relationship Type="http://schemas.openxmlformats.org/officeDocument/2006/relationships/hyperlink" Target="https://meteor-uat.aihw.gov.au/content/719790" TargetMode="External" Id="Rc9028e58e0d34b9f" /><Relationship Type="http://schemas.openxmlformats.org/officeDocument/2006/relationships/hyperlink" Target="https://meteor-uat.aihw.gov.au/content/394490" TargetMode="External" Id="R42de7030bfc445c9" /><Relationship Type="http://schemas.openxmlformats.org/officeDocument/2006/relationships/hyperlink" Target="https://meteor-uat.aihw.gov.au/content/449206" TargetMode="External" Id="Rce873aa55e664d3c" /><Relationship Type="http://schemas.openxmlformats.org/officeDocument/2006/relationships/hyperlink" Target="https://meteor-uat.aihw.gov.au/content/704699" TargetMode="External" Id="Re6d1962d959e4571" /><Relationship Type="http://schemas.openxmlformats.org/officeDocument/2006/relationships/hyperlink" Target="https://www.abs.gov.au/AUSSTATS/abs@.nsf/Lookup/3303.0Main+Features12013?OpenDocument" TargetMode="External" Id="Rf395935545ab47bb" /><Relationship Type="http://schemas.openxmlformats.org/officeDocument/2006/relationships/hyperlink" Target="https://www.abs.gov.au/statistics/health/causes-death/causes-death-australia/latest-release" TargetMode="External" Id="R5e6f8fac63314327" /><Relationship Type="http://schemas.openxmlformats.org/officeDocument/2006/relationships/hyperlink" Target="https://www.abs.gov.au/methodologies/causes-death-australia-methodology/2019" TargetMode="External" Id="R5a3e035f4688445b" /><Relationship Type="http://schemas.openxmlformats.org/officeDocument/2006/relationships/hyperlink" Target="https://www.niaa.gov.au/resource-centre/indigenous-affairs/health-performance-framework-2017-report" TargetMode="External" Id="Rf7bb23ddc1824ed1" /><Relationship Type="http://schemas.openxmlformats.org/officeDocument/2006/relationships/hyperlink" Target="https://indigenoushpf.gov.au/" TargetMode="External" Id="Rbf2d82daeaeb40bb" /><Relationship Type="http://schemas.openxmlformats.org/officeDocument/2006/relationships/hyperlink" Target="https://meteor-uat.aihw.gov.au/content/725813" TargetMode="External" Id="Rca2c2aaca222455f" /><Relationship Type="http://schemas.openxmlformats.org/officeDocument/2006/relationships/hyperlink" Target="https://meteor-uat.aihw.gov.au/RegistrationAuthority/14" TargetMode="External" Id="R2168811ebe1a4936" /><Relationship Type="http://schemas.openxmlformats.org/officeDocument/2006/relationships/hyperlink" Target="https://meteor-uat.aihw.gov.au/content/728337" TargetMode="External" Id="R30d8b0c7389d40f4" /><Relationship Type="http://schemas.openxmlformats.org/officeDocument/2006/relationships/hyperlink" Target="https://meteor-uat.aihw.gov.au/RegistrationAuthority/14" TargetMode="External" Id="R28c828706a364d43" /><Relationship Type="http://schemas.openxmlformats.org/officeDocument/2006/relationships/hyperlink" Target="https://meteor-uat.aihw.gov.au/content/728476" TargetMode="External" Id="R624a6a5794f74c08" /><Relationship Type="http://schemas.openxmlformats.org/officeDocument/2006/relationships/hyperlink" Target="https://meteor-uat.aihw.gov.au/RegistrationAuthority/14" TargetMode="External" Id="R48624e6bed5f472a" /><Relationship Type="http://schemas.openxmlformats.org/officeDocument/2006/relationships/hyperlink" Target="https://meteor-uat.aihw.gov.au/content/740884" TargetMode="External" Id="R5744144f77b34189" /><Relationship Type="http://schemas.openxmlformats.org/officeDocument/2006/relationships/hyperlink" Target="https://meteor-uat.aihw.gov.au/RegistrationAuthority/14" TargetMode="External" Id="R5c0d39f844254726" /><Relationship Type="http://schemas.openxmlformats.org/officeDocument/2006/relationships/hyperlink" Target="https://meteor-uat.aihw.gov.au/content/740882" TargetMode="External" Id="R2657e4a794834f2f" /><Relationship Type="http://schemas.openxmlformats.org/officeDocument/2006/relationships/hyperlink" Target="https://meteor-uat.aihw.gov.au/RegistrationAuthority/14" TargetMode="External" Id="R9443f511424b44cd" /><Relationship Type="http://schemas.openxmlformats.org/officeDocument/2006/relationships/hyperlink" Target="https://meteor-uat.aihw.gov.au/content/740864" TargetMode="External" Id="Rc7db07c38e534881" /><Relationship Type="http://schemas.openxmlformats.org/officeDocument/2006/relationships/hyperlink" Target="https://meteor-uat.aihw.gov.au/RegistrationAuthority/14" TargetMode="External" Id="R38b8ea9ce9c34457" /><Relationship Type="http://schemas.openxmlformats.org/officeDocument/2006/relationships/hyperlink" Target="https://meteor-uat.aihw.gov.au/content/718482" TargetMode="External" Id="R03ac67a68abd41b5" /><Relationship Type="http://schemas.openxmlformats.org/officeDocument/2006/relationships/hyperlink" Target="https://meteor-uat.aihw.gov.au/RegistrationAuthority/9" TargetMode="External" Id="R6973e08620de42f8" /></Relationships>
</file>

<file path=word/_rels/header1.xml.rels>&#65279;<?xml version="1.0" encoding="utf-8"?><Relationships xmlns="http://schemas.openxmlformats.org/package/2006/relationships"><Relationship Type="http://schemas.openxmlformats.org/officeDocument/2006/relationships/image" Target="/media/image.png" Id="R05e30aa36b1346a3" /></Relationships>
</file>