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ddc24a603543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ba4ada5c04c2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183f18b8be240f5">
              <w:r>
                <w:rPr>
                  <w:rStyle w:val="Hyperlink"/>
                  <w:b/>
                </w:rPr>
                <w:t xml:space="preserve">separations</w:t>
              </w:r>
            </w:hyperlink>
            <w:r>
              <w:rPr>
                <w:rStyle w:val="row-content-rich-text"/>
              </w:rPr>
              <w:t xml:space="preserve"> from the state/territory public acute admitted patient mental health care service unit(s) for which a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a23813f05c49ee">
              <w:r>
                <w:rPr>
                  <w:rStyle w:val="Hyperlink"/>
                </w:rPr>
                <w:t xml:space="preserve">National Healthcare Agreement (2022)</w:t>
              </w:r>
            </w:hyperlink>
          </w:p>
          <w:p>
            <w:pPr>
              <w:pStyle w:val="registration-status"/>
              <w:spacing w:before="0" w:after="0"/>
            </w:pPr>
            <w:hyperlink w:history="true" r:id="Recf8f1b367224f9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1818d8bbd34c4f">
              <w:r>
                <w:rPr>
                  <w:rStyle w:val="Hyperlink"/>
                </w:rPr>
                <w:t xml:space="preserve">Hospital and Related Care</w:t>
              </w:r>
            </w:hyperlink>
          </w:p>
          <w:p>
            <w:pPr>
              <w:pStyle w:val="registration-status"/>
              <w:spacing w:before="0" w:after="0"/>
            </w:pPr>
            <w:hyperlink w:history="true" r:id="R336a2559eb3247d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9c679c97c6d40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and/or their carer/support person, where the nature of the service would normally warrant a dated entry in the clinical record of the patient/client in question.</w:t>
            </w:r>
          </w:p>
          <w:p>
            <w:pPr>
              <w:spacing w:after="160"/>
            </w:pPr>
            <w:r>
              <w:rPr>
                <w:rStyle w:val="row-content-rich-text"/>
              </w:rPr>
              <w:t xml:space="preserve">Demographic variables of the consumer are to be based on the data from the hospital admission record, even if the result is null or invalid.</w:t>
            </w:r>
          </w:p>
          <w:p>
            <w:pPr/>
            <w:r>
              <w:rPr>
                <w:rStyle w:val="row-content-rich-text"/>
              </w:rPr>
              <w:t xml:space="preserve">'Carer/support person' is defined by local legislation and policies for the relevant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mental health service contact, in which the consumer and/or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d245f72dfba744f6">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8f56fda25b80446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d1073542ff32429e">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(numerator, denominator and percentage only) and state and territory (numerator, denominator and percentage), by:</w:t>
            </w:r>
          </w:p>
          <w:p>
            <w:pPr>
              <w:pStyle w:val="ListParagraph"/>
              <w:numPr>
                <w:ilvl w:val="0"/>
                <w:numId w:val="2"/>
              </w:numPr>
            </w:pPr>
            <w:r>
              <w:rPr>
                <w:rStyle w:val="row-content-rich-text"/>
              </w:rPr>
              <w:t xml:space="preserve">2016 Socio-Economic Indexes for Areas (SEIFA) Index of Relative Socio-Economic Disadvantage (IRSD) quintiles</w:t>
            </w:r>
          </w:p>
          <w:p>
            <w:pPr>
              <w:pStyle w:val="ListParagraph"/>
              <w:numPr>
                <w:ilvl w:val="0"/>
                <w:numId w:val="2"/>
              </w:numPr>
            </w:pPr>
            <w:r>
              <w:rPr>
                <w:rStyle w:val="row-content-rich-text"/>
              </w:rPr>
              <w:t xml:space="preserve">consumer participated in the mental health service contact.</w:t>
            </w:r>
          </w:p>
          <w:p>
            <w:pPr>
              <w:spacing w:after="160"/>
            </w:pPr>
            <w:r>
              <w:rPr>
                <w:rStyle w:val="row-content-rich-text"/>
              </w:rPr>
              <w:t xml:space="preserve">2019–20—State and territory (numerator, denominator and percentage).</w:t>
            </w:r>
          </w:p>
          <w:p>
            <w:pPr>
              <w:spacing w:after="160"/>
            </w:pPr>
            <w:r>
              <w:rPr>
                <w:rStyle w:val="row-content-rich-text"/>
              </w:rPr>
              <w:t xml:space="preserve">2019–20—State and territory (percentage only),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 of consumer</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2019–20—Consumer participated in the mental health service contact, nationaly (percentage only) and state and territory (percentage only),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remoteness (Australian Statistical Geography Standard (ASGS) Remoteness Structure) of consumer</w:t>
            </w:r>
          </w:p>
          <w:p>
            <w:pPr>
              <w:pStyle w:val="ListParagraph"/>
              <w:numPr>
                <w:ilvl w:val="0"/>
                <w:numId w:val="4"/>
              </w:numPr>
            </w:pPr>
            <w:r>
              <w:rPr>
                <w:rStyle w:val="row-content-rich-text"/>
              </w:rPr>
              <w:t xml:space="preserve">2016 Socio-Economic Indexes for Areas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 — consumer present</w:t>
            </w:r>
          </w:p>
          <w:p>
            <w:r>
              <w:rPr>
                <w:rStyle w:val="row-content"/>
                <w:b/>
              </w:rPr>
              <w:t xml:space="preserve">Data Source</w:t>
            </w:r>
          </w:p>
          <w:p>
            <w:hyperlink w:history="true" r:id="Rba669021108d470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 — age</w:t>
            </w:r>
          </w:p>
          <w:p>
            <w:r>
              <w:rPr>
                <w:rStyle w:val="row-content"/>
                <w:b/>
              </w:rPr>
              <w:t xml:space="preserve">Data Source</w:t>
            </w:r>
          </w:p>
          <w:p>
            <w:hyperlink w:history="true" r:id="R7dce7dbbc54b49e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 — sex</w:t>
            </w:r>
          </w:p>
          <w:p>
            <w:r>
              <w:rPr>
                <w:rStyle w:val="row-content"/>
                <w:b/>
              </w:rPr>
              <w:t xml:space="preserve">Data Source</w:t>
            </w:r>
          </w:p>
          <w:p>
            <w:hyperlink w:history="true" r:id="R6fc16ec9ca73428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7570dd573ae44e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66d4e6df455462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5"/>
              </w:numPr>
            </w:pPr>
            <w:r>
              <w:rPr>
                <w:rStyle w:val="row-content-rich-text"/>
              </w:rPr>
              <w:t xml:space="preserve">Same-day separations</w:t>
            </w:r>
          </w:p>
          <w:p>
            <w:pPr>
              <w:pStyle w:val="ListParagraph"/>
              <w:numPr>
                <w:ilvl w:val="0"/>
                <w:numId w:val="5"/>
              </w:numPr>
            </w:pPr>
            <w:r>
              <w:rPr>
                <w:rStyle w:val="row-content-rich-text"/>
              </w:rPr>
              <w:t xml:space="preserve">Statistical and change of care type separations (e.g. in-hospital transfer to another unit)</w:t>
            </w:r>
          </w:p>
          <w:p>
            <w:pPr>
              <w:pStyle w:val="ListParagraph"/>
              <w:numPr>
                <w:ilvl w:val="0"/>
                <w:numId w:val="5"/>
              </w:numPr>
            </w:pPr>
            <w:r>
              <w:rPr>
                <w:rStyle w:val="row-content-rich-text"/>
              </w:rPr>
              <w:t xml:space="preserve">Separations that end by transfer to another acute or psychiatric inpatient hospital</w:t>
            </w:r>
          </w:p>
          <w:p>
            <w:pPr>
              <w:pStyle w:val="ListParagraph"/>
              <w:numPr>
                <w:ilvl w:val="0"/>
                <w:numId w:val="5"/>
              </w:numPr>
            </w:pPr>
            <w:r>
              <w:rPr>
                <w:rStyle w:val="row-content-rich-text"/>
              </w:rPr>
              <w:t xml:space="preserve">Separations that end by death</w:t>
            </w:r>
          </w:p>
          <w:p>
            <w:pPr>
              <w:pStyle w:val="ListParagraph"/>
              <w:numPr>
                <w:ilvl w:val="0"/>
                <w:numId w:val="5"/>
              </w:numPr>
            </w:pPr>
            <w:r>
              <w:rPr>
                <w:rStyle w:val="row-content-rich-text"/>
              </w:rPr>
              <w:t xml:space="preserve">Separations where length of stay is one night only and procedure code for electroconvulsive therapy (ECT) or Transcrancial magnetic stimulation (TMS) is recorded</w:t>
            </w:r>
          </w:p>
          <w:p>
            <w:pPr>
              <w:pStyle w:val="ListParagraph"/>
              <w:numPr>
                <w:ilvl w:val="0"/>
                <w:numId w:val="5"/>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6"/>
              </w:numPr>
            </w:pPr>
            <w:r>
              <w:rPr>
                <w:rStyle w:val="row-content-rich-text"/>
              </w:rPr>
              <w:t xml:space="preserve">Service contacts occurring on day of separation</w:t>
            </w:r>
          </w:p>
          <w:p>
            <w:pPr>
              <w:pStyle w:val="ListParagraph"/>
              <w:numPr>
                <w:ilvl w:val="0"/>
                <w:numId w:val="6"/>
              </w:numPr>
            </w:pPr>
            <w:r>
              <w:rPr>
                <w:rStyle w:val="row-content-rich-text"/>
              </w:rPr>
              <w:t xml:space="preserve">Contacts where neither a consumer nor their carer/support person participated.</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2019–20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7"/>
              </w:numPr>
            </w:pPr>
            <w:r>
              <w:rPr>
                <w:rStyle w:val="row-content-rich-text"/>
              </w:rPr>
              <w:t xml:space="preserve">ACHI 5th edition use procedure codes 93340-02 and 93340-43</w:t>
            </w:r>
          </w:p>
          <w:p>
            <w:pPr>
              <w:pStyle w:val="ListParagraph"/>
              <w:numPr>
                <w:ilvl w:val="0"/>
                <w:numId w:val="7"/>
              </w:numPr>
            </w:pPr>
            <w:r>
              <w:rPr>
                <w:rStyle w:val="row-content-rich-text"/>
              </w:rPr>
              <w:t xml:space="preserve">ACHI 6th to 9th editions use procedure codes 93341-00 to 93341-99</w:t>
            </w:r>
          </w:p>
          <w:p>
            <w:pPr>
              <w:pStyle w:val="ListParagraph"/>
              <w:numPr>
                <w:ilvl w:val="0"/>
                <w:numId w:val="7"/>
              </w:numPr>
            </w:pPr>
            <w:r>
              <w:rPr>
                <w:rStyle w:val="row-content-rich-text"/>
              </w:rPr>
              <w:t xml:space="preserve">ACHI 10th edition use procedure codes 14224-00 to 14224-06</w:t>
            </w:r>
          </w:p>
          <w:p>
            <w:pPr>
              <w:pStyle w:val="ListParagraph"/>
              <w:numPr>
                <w:ilvl w:val="0"/>
                <w:numId w:val="7"/>
              </w:numPr>
            </w:pPr>
            <w:r>
              <w:rPr>
                <w:rStyle w:val="row-content-rich-text"/>
              </w:rPr>
              <w:t xml:space="preserve">ACHI 5th to 11th editions Electroconvulsive therapy Block [1907] may be selected to capture all data regardless of code changes over time.</w:t>
            </w:r>
          </w:p>
          <w:p>
            <w:pPr>
              <w:spacing w:after="160"/>
            </w:pPr>
            <w:r>
              <w:rPr>
                <w:rStyle w:val="row-content-rich-text"/>
              </w:rPr>
              <w:t xml:space="preserve">ACHI TMS procedure codes are:</w:t>
            </w:r>
          </w:p>
          <w:p>
            <w:pPr>
              <w:pStyle w:val="ListParagraph"/>
              <w:numPr>
                <w:ilvl w:val="0"/>
                <w:numId w:val="8"/>
              </w:numPr>
            </w:pPr>
            <w:r>
              <w:rPr>
                <w:rStyle w:val="row-content-rich-text"/>
              </w:rPr>
              <w:t xml:space="preserve">ACHI 11th edition use procedure codes 96252-00, 96253-00, and 96254-00.</w:t>
            </w:r>
          </w:p>
          <w:p>
            <w:pPr>
              <w:pStyle w:val="ListParagraph"/>
              <w:numPr>
                <w:ilvl w:val="0"/>
                <w:numId w:val="8"/>
              </w:numPr>
            </w:pPr>
            <w:r>
              <w:rPr>
                <w:rStyle w:val="row-content-rich-text"/>
              </w:rPr>
              <w:t xml:space="preserve">Procedure codes for TMS are from ACHI 11th edition onwards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ef1fdad6e54dc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aed69eafb70d42e7">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Full implementation of this measure requires unique statewide patient identifiers – currently available in six of the eight states and territories and under development in the remaining two.</w:t>
            </w:r>
          </w:p>
          <w:p>
            <w:pPr/>
            <w:r>
              <w:rPr>
                <w:rStyle w:val="row-content-rich-text"/>
              </w:rPr>
              <w:t xml:space="preserve">Collection of carer/support person contacts has been added in the 2021 indicator specifications onwards. However, not all jurisdictions will be able to supply this data. Data development work to consistently capture information about carers in state/territory data systems is necessary to allow further development of this indicator. As a result, national totals and disaggregations involving carer contacts are currently unavailable for this indicator. Time series data is also unavailable for contacts involving carer participation, and is only available for contacts where a consumer has participated.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2021. </w:t>
            </w:r>
            <w:r>
              <w:rPr>
                <w:rStyle w:val="row-content-rich-text"/>
                <w:i/>
              </w:rPr>
              <w:t xml:space="preserve">Mental health services in Australia</w:t>
            </w:r>
            <w:r>
              <w:rPr>
                <w:rStyle w:val="row-content-rich-text"/>
              </w:rPr>
              <w:t xml:space="preserve">. Canberra: AIHW. Viewed 22 February 2021, </w:t>
            </w:r>
            <w:hyperlink w:history="true" r:id="Raf050f843c2d4fb6">
              <w:r>
                <w:rPr>
                  <w:rStyle w:val="Hyperlink"/>
                </w:rPr>
                <w:t xml:space="preserve">https://www.aihw.gov.au/reports/mental-health-services/mental-health-services-in-australia</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906e208b64152">
              <w:r>
                <w:rPr>
                  <w:rStyle w:val="Hyperlink"/>
                </w:rPr>
                <w:t xml:space="preserve">National Healthcare Agreement: PI 25–Rate of community follow up within first seven days of discharge from a psychiatric admission, 2021</w:t>
              </w:r>
            </w:hyperlink>
          </w:p>
          <w:p>
            <w:pPr>
              <w:pStyle w:val="registration-status"/>
              <w:spacing w:before="0" w:after="0"/>
            </w:pPr>
            <w:hyperlink w:history="true" r:id="Rb06c3725d79e42eb">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2a0f87b4a34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32331e904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0f87b4a344191" /><Relationship Type="http://schemas.openxmlformats.org/officeDocument/2006/relationships/header" Target="/word/header1.xml" Id="Rab49c4e809634cc4" /><Relationship Type="http://schemas.openxmlformats.org/officeDocument/2006/relationships/settings" Target="/word/settings.xml" Id="Rc823c933bfe4486d" /><Relationship Type="http://schemas.openxmlformats.org/officeDocument/2006/relationships/styles" Target="/word/styles.xml" Id="Rfb652f009663484e" /><Relationship Type="http://schemas.openxmlformats.org/officeDocument/2006/relationships/numbering" Target="/word/numbering.xml" Id="R2afa11e85c514b9a" /><Relationship Type="http://schemas.openxmlformats.org/officeDocument/2006/relationships/hyperlink" Target="https://meteor-uat.aihw.gov.au/RegistrationAuthority/14" TargetMode="External" Id="Rd4bba4ada5c04c2f" /><Relationship Type="http://schemas.openxmlformats.org/officeDocument/2006/relationships/hyperlink" Target="https://meteor-uat.aihw.gov.au/content/327268" TargetMode="External" Id="Rd183f18b8be240f5" /><Relationship Type="http://schemas.openxmlformats.org/officeDocument/2006/relationships/hyperlink" Target="https://meteor-uat.aihw.gov.au/content/740910" TargetMode="External" Id="Rd6a23813f05c49ee" /><Relationship Type="http://schemas.openxmlformats.org/officeDocument/2006/relationships/hyperlink" Target="https://meteor-uat.aihw.gov.au/RegistrationAuthority/14" TargetMode="External" Id="Recf8f1b367224f93" /><Relationship Type="http://schemas.openxmlformats.org/officeDocument/2006/relationships/hyperlink" Target="https://meteor-uat.aihw.gov.au/content/393487" TargetMode="External" Id="R921818d8bbd34c4f" /><Relationship Type="http://schemas.openxmlformats.org/officeDocument/2006/relationships/hyperlink" Target="https://meteor-uat.aihw.gov.au/RegistrationAuthority/10" TargetMode="External" Id="R336a2559eb3247d7" /><Relationship Type="http://schemas.openxmlformats.org/officeDocument/2006/relationships/hyperlink" Target="https://meteor-uat.aihw.gov.au/RegistrationAuthority/14" TargetMode="External" Id="R39c679c97c6d4039" /><Relationship Type="http://schemas.openxmlformats.org/officeDocument/2006/relationships/hyperlink" Target="https://meteor-uat.aihw.gov.au/content/402135" TargetMode="External" Id="Rd245f72dfba744f6" /><Relationship Type="http://schemas.openxmlformats.org/officeDocument/2006/relationships/hyperlink" Target="https://meteor-uat.aihw.gov.au/content/426458" TargetMode="External" Id="R8f56fda25b80446c" /><Relationship Type="http://schemas.openxmlformats.org/officeDocument/2006/relationships/hyperlink" Target="https://meteor-uat.aihw.gov.au/content/426458" TargetMode="External" Id="Rd1073542ff32429e" /><Relationship Type="http://schemas.openxmlformats.org/officeDocument/2006/relationships/hyperlink" Target="https://meteor-uat.aihw.gov.au/content/402135" TargetMode="External" Id="Rba669021108d470f" /><Relationship Type="http://schemas.openxmlformats.org/officeDocument/2006/relationships/hyperlink" Target="https://meteor-uat.aihw.gov.au/content/402135" TargetMode="External" Id="R7dce7dbbc54b49e9" /><Relationship Type="http://schemas.openxmlformats.org/officeDocument/2006/relationships/hyperlink" Target="https://meteor-uat.aihw.gov.au/content/402135" TargetMode="External" Id="R6fc16ec9ca734285" /><Relationship Type="http://schemas.openxmlformats.org/officeDocument/2006/relationships/hyperlink" Target="https://meteor-uat.aihw.gov.au/content/426458" TargetMode="External" Id="Re7570dd573ae44ec" /><Relationship Type="http://schemas.openxmlformats.org/officeDocument/2006/relationships/hyperlink" Target="https://meteor-uat.aihw.gov.au/content/426458" TargetMode="External" Id="Ra66d4e6df4554627" /><Relationship Type="http://schemas.openxmlformats.org/officeDocument/2006/relationships/hyperlink" Target="https://meteor-uat.aihw.gov.au/content/426458" TargetMode="External" Id="R39ef1fdad6e54dc5" /><Relationship Type="http://schemas.openxmlformats.org/officeDocument/2006/relationships/hyperlink" Target="https://meteor-uat.aihw.gov.au/content/402135" TargetMode="External" Id="Raed69eafb70d42e7" /><Relationship Type="http://schemas.openxmlformats.org/officeDocument/2006/relationships/hyperlink" Target="https://www.aihw.gov.au/reports/mental-health-services/mental-health-services-in-australia" TargetMode="External" Id="Raf050f843c2d4fb6" /><Relationship Type="http://schemas.openxmlformats.org/officeDocument/2006/relationships/hyperlink" Target="https://meteor-uat.aihw.gov.au/content/725773" TargetMode="External" Id="Rb9c906e208b64152" /><Relationship Type="http://schemas.openxmlformats.org/officeDocument/2006/relationships/hyperlink" Target="https://meteor-uat.aihw.gov.au/RegistrationAuthority/14" TargetMode="External" Id="Rb06c3725d79e42eb" /></Relationships>
</file>

<file path=word/_rels/header1.xml.rels>&#65279;<?xml version="1.0" encoding="utf-8"?><Relationships xmlns="http://schemas.openxmlformats.org/package/2006/relationships"><Relationship Type="http://schemas.openxmlformats.org/officeDocument/2006/relationships/image" Target="/media/image.png" Id="Rdc932331e9044c5b" /></Relationships>
</file>