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a33a7d09974239"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02J – Mental health readmissions to hospital,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02J – Mental health readmissions to hospital,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02J: Mental health readmissions to hospital,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d9c169db3944eb">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in-scope overnight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ba59eb4649446fb">
              <w:r>
                <w:rPr>
                  <w:rStyle w:val="Hyperlink"/>
                  <w:b/>
                </w:rPr>
                <w:t xml:space="preserve">separations</w:t>
              </w:r>
            </w:hyperlink>
            <w:r>
              <w:rPr>
                <w:rStyle w:val="row-content-rich-text"/>
              </w:rPr>
              <w:t xml:space="preserve">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72ba8cd756ae4f1e">
              <w:r>
                <w:rPr>
                  <w:rStyle w:val="Hyperlink"/>
                  <w:b/>
                </w:rPr>
                <w:t xml:space="preserve">admitted patient mental health care service</w:t>
              </w:r>
            </w:hyperlink>
            <w:r>
              <w:rPr>
                <w:rStyle w:val="row-content-rich-text"/>
              </w:rPr>
              <w:t xml:space="preserve"> unit(s) that are followed by readmission to the same or to another public sector acute admitted patient mental health care service unit within 28 days of separation.</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Mental health readmissions to hospital,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Readmissions to an acute admitted patient mental health care service unit following a recent discharge may indicate that inpatient treatment was incomplete or ineffective, or that follow-up care was inadequate to maintain the person’s treatment out of hospital. In this sense, rapid readmissions may point to deficiencies in the functioning of the overall care system.</w:t>
            </w:r>
          </w:p>
          <w:p>
            <w:pPr>
              <w:pStyle w:val="ListParagraph"/>
              <w:numPr>
                <w:ilvl w:val="0"/>
                <w:numId w:val="2"/>
              </w:numPr>
            </w:pPr>
            <w:r>
              <w:rPr>
                <w:rStyle w:val="row-content-rich-text"/>
              </w:rPr>
              <w:t xml:space="preserve">Avoidable rapid readmissions place pressure on finite beds and may reduce access to care for other consumers in need.</w:t>
            </w:r>
          </w:p>
          <w:p>
            <w:pPr>
              <w:pStyle w:val="ListParagraph"/>
              <w:numPr>
                <w:ilvl w:val="0"/>
                <w:numId w:val="2"/>
              </w:numPr>
            </w:pPr>
            <w:r>
              <w:rPr>
                <w:rStyle w:val="row-content-rich-text"/>
              </w:rPr>
              <w:t xml:space="preserve">International literature identifies one month as an appropriate defined time period for the measurement of unplanned readmissions following separation from an acute admitted patient mental health care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27dfed085da4a49">
              <w:r>
                <w:rPr>
                  <w:rStyle w:val="Hyperlink"/>
                </w:rPr>
                <w:t xml:space="preserve">Key Performance Indicators for Australian Public Mental Health Services (Jurisdictional level version) (2021)</w:t>
              </w:r>
            </w:hyperlink>
          </w:p>
          <w:p>
            <w:pPr>
              <w:pStyle w:val="registration-status"/>
              <w:spacing w:before="0" w:after="0"/>
            </w:pPr>
            <w:hyperlink w:history="true" r:id="Recefe4fdb0c649b4">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w:t>
            </w:r>
          </w:p>
          <w:p>
            <w:pPr>
              <w:spacing w:after="160"/>
            </w:pPr>
            <w:r>
              <w:rPr>
                <w:rStyle w:val="row-content-rich-text"/>
              </w:rPr>
              <w:t xml:space="preserve">The following readmissions are excluded when calculating the </w:t>
            </w:r>
            <w:r>
              <w:rPr>
                <w:rStyle w:val="row-content-rich-text"/>
                <w:b/>
              </w:rPr>
              <w:t xml:space="preserve">numerator</w:t>
            </w:r>
            <w:r>
              <w:rPr>
                <w:rStyle w:val="row-content-rich-text"/>
              </w:rPr>
              <w:t xml:space="preserve">:</w:t>
            </w:r>
          </w:p>
          <w:p>
            <w:r>
              <w:br/>
            </w:r>
            <w:r>
              <w:br/>
            </w:r>
            <w:r>
              <w:br/>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separations where the length of stay is one night only and a procedure code for Electroconvulsive therapy (ECT) or Transcranial Magnetic Stimulation (TMS) is recorded.</w:t>
            </w:r>
          </w:p>
          <w:p>
            <w:pPr>
              <w:spacing w:after="160"/>
            </w:pPr>
            <w:r>
              <w:rPr>
                <w:rStyle w:val="row-content-rich-text"/>
              </w:rPr>
              <w:t xml:space="preserve">The following separations are excluded when calculating the </w:t>
            </w:r>
            <w:r>
              <w:rPr>
                <w:rStyle w:val="row-content-rich-text"/>
                <w:b/>
              </w:rPr>
              <w:t xml:space="preserve">denominator</w:t>
            </w:r>
            <w:r>
              <w:rPr>
                <w:rStyle w:val="row-content-rich-text"/>
              </w:rPr>
              <w:t xml:space="preserve">:</w:t>
            </w:r>
          </w:p>
          <w:p>
            <w:pPr>
              <w:pStyle w:val="ListParagraph"/>
              <w:numPr>
                <w:ilvl w:val="0"/>
                <w:numId w:val="4"/>
              </w:numPr>
            </w:pPr>
            <w:r>
              <w:rPr>
                <w:rStyle w:val="row-content-rich-text"/>
              </w:rPr>
              <w:t xml:space="preserve">same-day separations</w:t>
            </w:r>
          </w:p>
          <w:p>
            <w:pPr>
              <w:pStyle w:val="ListParagraph"/>
              <w:numPr>
                <w:ilvl w:val="0"/>
                <w:numId w:val="4"/>
              </w:numPr>
            </w:pPr>
            <w:r>
              <w:rPr>
                <w:rStyle w:val="row-content-rich-text"/>
              </w:rPr>
              <w:t xml:space="preserve">separations where the length of stay is one night only and a procedure code for Electroconvulsive therapy (ECT) or Transcranial Magnetic Stimulation (TMS) is recorded.</w:t>
            </w:r>
          </w:p>
          <w:p>
            <w:pPr>
              <w:pStyle w:val="ListParagraph"/>
              <w:numPr>
                <w:ilvl w:val="0"/>
                <w:numId w:val="4"/>
              </w:numPr>
            </w:pPr>
            <w:r>
              <w:rPr>
                <w:rStyle w:val="row-content-rich-text"/>
              </w:rPr>
              <w:t xml:space="preserve">statistical and change of care type separations</w:t>
            </w:r>
          </w:p>
          <w:p>
            <w:pPr>
              <w:pStyle w:val="ListParagraph"/>
              <w:numPr>
                <w:ilvl w:val="0"/>
                <w:numId w:val="4"/>
              </w:numPr>
            </w:pPr>
            <w:r>
              <w:rPr>
                <w:rStyle w:val="row-content-rich-text"/>
              </w:rPr>
              <w:t xml:space="preserve">separations that end in death</w:t>
            </w:r>
          </w:p>
          <w:p>
            <w:pPr>
              <w:pStyle w:val="ListParagraph"/>
              <w:numPr>
                <w:ilvl w:val="0"/>
                <w:numId w:val="4"/>
              </w:numPr>
            </w:pPr>
            <w:r>
              <w:rPr>
                <w:rStyle w:val="row-content-rich-text"/>
              </w:rPr>
              <w:t xml:space="preserve">separations that end by transfer to another acute or psychiatric hospital.</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2021 performance reporting: 2019–20. Readmissions where the initial separation occurred within the reference period are in scope.</w:t>
            </w:r>
          </w:p>
          <w:p>
            <w:pPr>
              <w:pStyle w:val="ListParagraph"/>
              <w:numPr>
                <w:ilvl w:val="0"/>
                <w:numId w:val="5"/>
              </w:numPr>
            </w:pPr>
            <w:r>
              <w:rPr>
                <w:rStyle w:val="row-content-rich-text"/>
              </w:rPr>
              <w:t xml:space="preserve">Readmission is considered to have occurred if the person is admitted to any public acute admitted patient mental health care service unit within the state/territory. Consequently, a state-wide unique patient identifier is required for accurate construction of this indicator.</w:t>
            </w:r>
          </w:p>
          <w:p>
            <w:pPr>
              <w:pStyle w:val="ListParagraph"/>
              <w:numPr>
                <w:ilvl w:val="0"/>
                <w:numId w:val="5"/>
              </w:numPr>
            </w:pPr>
            <w:r>
              <w:rPr>
                <w:rStyle w:val="row-content-rich-text"/>
              </w:rPr>
              <w:t xml:space="preserve">Readmissions where the person is separated and readmitted on the same day are included.</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admitted patient mental health care service unit is based on the principal purpose(s) of the admitted patient care program rather than the care type of the individual consumers.</w:t>
            </w:r>
          </w:p>
          <w:p>
            <w:pPr>
              <w:pStyle w:val="ListParagraph"/>
              <w:numPr>
                <w:ilvl w:val="0"/>
                <w:numId w:val="5"/>
              </w:numPr>
            </w:pPr>
            <w:r>
              <w:rPr>
                <w:rStyle w:val="row-content-rich-text"/>
              </w:rPr>
              <w:t xml:space="preserve">The following Australian Classification of Health Interventions (ACHI) ECT procedure codes are relevant for the excluded separations specified above:</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11th edition use procedure codes 14224-00 to 14224-06.</w:t>
            </w:r>
            <w:r>
              <w:br/>
            </w:r>
            <w:r>
              <w:rPr>
                <w:rStyle w:val="row-content-rich-text"/>
              </w:rPr>
              <w:t xml:space="preserve">* ACHI 5th to 11th editions ECT Block 1907 may be selected to capture all data regardless of code changes over time.</w:t>
            </w:r>
          </w:p>
          <w:p>
            <w:pPr>
              <w:pStyle w:val="ListParagraph"/>
              <w:numPr>
                <w:ilvl w:val="0"/>
                <w:numId w:val="5"/>
              </w:numPr>
            </w:pPr>
            <w:r>
              <w:rPr>
                <w:rStyle w:val="row-content-rich-text"/>
              </w:rPr>
              <w:t xml:space="preserve">The following ACHI TMS procedure codes are relevant for the excluded separations specified above:</w:t>
            </w:r>
            <w:r>
              <w:br/>
            </w:r>
            <w:r>
              <w:rPr>
                <w:rStyle w:val="row-content-rich-text"/>
              </w:rPr>
              <w:t xml:space="preserve">* ACHI 11th edition use procedure codes 96252-00, 96253-00, and 96254-00.</w:t>
            </w:r>
            <w:r>
              <w:br/>
            </w:r>
            <w:r>
              <w:rPr>
                <w:rStyle w:val="row-content-rich-text"/>
              </w:rPr>
              <w:t xml:space="preserve">* Procedure codes for TMS are from ACHI 11th edition onwards only.</w:t>
            </w:r>
          </w:p>
          <w:p>
            <w:pPr>
              <w:pStyle w:val="ListParagraph"/>
              <w:numPr>
                <w:ilvl w:val="0"/>
                <w:numId w:val="5"/>
              </w:numPr>
            </w:pPr>
            <w:r>
              <w:rPr>
                <w:rStyle w:val="row-content-rich-text"/>
              </w:rPr>
              <w:t xml:space="preserve">No distinction is made between planned and unplanned readmissions.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readmissions to a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readmissions to a public acute admitted patient mental health care service unit within 28 days</w:t>
            </w:r>
          </w:p>
          <w:p>
            <w:r>
              <w:rPr>
                <w:rStyle w:val="row-content"/>
                <w:b/>
              </w:rPr>
              <w:t xml:space="preserve">Data Source</w:t>
            </w:r>
          </w:p>
          <w:p>
            <w:hyperlink w:history="true" r:id="R5225b4c127eb424c">
              <w:r>
                <w:rPr>
                  <w:rStyle w:val="Hyperlink"/>
                </w:rPr>
                <w:t xml:space="preserve">State/territory admitted patient data</w:t>
              </w:r>
            </w:hyperlink>
            <w:r>
              <w:rPr>
                <w:rStyle w:val="row-content"/>
              </w:rPr>
              <w:t xml:space="preserve"> 2019–20</w:t>
            </w:r>
          </w:p>
          <w:p>
            <w:r>
              <w:rPr>
                <w:rStyle w:val="row-content"/>
                <w:b/>
              </w:rPr>
              <w:t xml:space="preserve">Guide for use</w:t>
            </w:r>
          </w:p>
          <w:p>
            <w:r>
              <w:rPr>
                <w:rStyle w:val="row-content"/>
              </w:rPr>
              <w:t xml:space="preserve">Determining whether there was a readmission for in-scope separations for the numerator requires data for the 28 days of the next financial year to be included in determining whether a readmission has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separations from public acute admitted patient mental health care service unit(s)</w:t>
            </w:r>
          </w:p>
          <w:p>
            <w:r>
              <w:rPr>
                <w:rStyle w:val="row-content"/>
                <w:b/>
              </w:rPr>
              <w:t xml:space="preserve">Data Source</w:t>
            </w:r>
          </w:p>
          <w:p>
            <w:hyperlink w:history="true" r:id="R8c009e201e664e1c">
              <w:r>
                <w:rPr>
                  <w:rStyle w:val="Hyperlink"/>
                </w:rPr>
                <w:t xml:space="preserve">State/territory admitted patient data</w:t>
              </w:r>
            </w:hyperlink>
            <w:r>
              <w:rPr>
                <w:rStyle w:val="row-content"/>
              </w:rPr>
              <w:t xml:space="preserve"> 2019–20</w:t>
            </w:r>
          </w:p>
          <w:p>
            <w:r>
              <w:rPr>
                <w:rStyle w:val="row-content"/>
                <w:b/>
              </w:rPr>
              <w:t xml:space="preserve">Guide for use</w:t>
            </w:r>
          </w:p>
          <w:p>
            <w:r>
              <w:rPr>
                <w:rStyle w:val="row-content"/>
              </w:rPr>
              <w:t xml:space="preserve">In-scope separations for the denominator are identified prior to determining whether a readmission has occurred. The total number of in-scope separations is expected to comprise separations for the full 12 months of the data set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level attributes: target population.</w:t>
            </w:r>
          </w:p>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disaggregated data are to be calculated as at the admission for the first index separation, even if the value is null. The index separation refers to the separation data point included in the denominator data set. The data at admission for the index separation should be used for the associated numerator data pair, when present, and any subsequent denominator and data pairs for a uniquely identifiable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6b79a138dff423d">
              <w:r>
                <w:rPr>
                  <w:rStyle w:val="Hyperlink"/>
                </w:rPr>
                <w:t xml:space="preserve">State/territory admitted patient data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cf4c92fd510c478e">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dcfaaebf01fd49e7">
              <w:r>
                <w:rPr>
                  <w:rStyle w:val="Hyperlink"/>
                </w:rPr>
                <w:t xml:space="preserve">State/territory admitted patient data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44a45d71b8594e54">
              <w:r>
                <w:rPr>
                  <w:rStyle w:val="Hyperlink"/>
                </w:rPr>
                <w:t xml:space="preserve">State/territory admitted patient data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Specialised mental health service—target population group</w:t>
            </w:r>
          </w:p>
          <w:p>
            <w:r>
              <w:rPr>
                <w:rStyle w:val="row-content"/>
                <w:b/>
              </w:rPr>
              <w:t xml:space="preserve">Data Source</w:t>
            </w:r>
          </w:p>
          <w:p>
            <w:hyperlink w:history="true" r:id="R6d9ac3ace28c42b7">
              <w:r>
                <w:rPr>
                  <w:rStyle w:val="Hyperlink"/>
                </w:rPr>
                <w:t xml:space="preserve">State/territory admitted patient data </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2dcf2450b164d38">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supplied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National Minimum Data Set (NMDS). While the data set comprehensively provides a collection of separations from Australian public hospitals, its inability to uniquely identify a patient across episodes and across hospitals, and the inability to identify patient transfers into and separations from acute admitted patient mental health care service units,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spacing w:after="160"/>
            </w:pPr>
            <w:r>
              <w:rPr>
                <w:rStyle w:val="row-content-rich-text"/>
              </w:rPr>
              <w:t xml:space="preserve">A reliable system of patient identifiers within the Admitted Patient Care NMDS is required to enable unique identification of individual consumers across multiple years, multiple admitted episodes and multiple hospitals.</w:t>
            </w:r>
          </w:p>
          <w:p>
            <w:pPr>
              <w:spacing w:after="160"/>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Due to data limitations this indicator cannot differentiate between planned and unplanned readmissions. 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065c6be9bd40ac">
              <w:r>
                <w:rPr>
                  <w:rStyle w:val="Hyperlink"/>
                </w:rPr>
                <w:t xml:space="preserve">KPIs for Australian Public Mental Health Services: PI 02J – Mental health readmissions to hospital, 2020</w:t>
              </w:r>
            </w:hyperlink>
          </w:p>
          <w:p>
            <w:pPr>
              <w:pStyle w:val="registration-status"/>
              <w:spacing w:before="0" w:after="0"/>
            </w:pPr>
            <w:hyperlink w:history="true" r:id="R7ff937263a49410d">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d4bdc66859274960">
              <w:r>
                <w:rPr>
                  <w:rStyle w:val="Hyperlink"/>
                </w:rPr>
                <w:t xml:space="preserve">Specialised mental health service—admitted patient care program type, code N</w:t>
              </w:r>
            </w:hyperlink>
          </w:p>
          <w:p>
            <w:pPr>
              <w:pStyle w:val="registration-status"/>
              <w:spacing w:before="0" w:after="0"/>
            </w:pPr>
            <w:hyperlink w:history="true" r:id="Rcd36cf4343b74ff1">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fe495ee386234f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b5ff4c359a47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495ee386234fc6" /><Relationship Type="http://schemas.openxmlformats.org/officeDocument/2006/relationships/header" Target="/word/header1.xml" Id="Rc85bdca10c3341a2" /><Relationship Type="http://schemas.openxmlformats.org/officeDocument/2006/relationships/settings" Target="/word/settings.xml" Id="Re7eee61460b445b1" /><Relationship Type="http://schemas.openxmlformats.org/officeDocument/2006/relationships/styles" Target="/word/styles.xml" Id="R2d9946902d484d0e" /><Relationship Type="http://schemas.openxmlformats.org/officeDocument/2006/relationships/numbering" Target="/word/numbering.xml" Id="Re38b3ab00a084a4b" /><Relationship Type="http://schemas.openxmlformats.org/officeDocument/2006/relationships/hyperlink" Target="https://meteor-uat.aihw.gov.au/content/426458" TargetMode="External" Id="R1b584da5bf2c42a1" /><Relationship Type="http://schemas.openxmlformats.org/officeDocument/2006/relationships/hyperlink" Target="https://meteor-uat.aihw.gov.au/RegistrationAuthority/14" TargetMode="External" Id="R58d9c169db3944eb" /><Relationship Type="http://schemas.openxmlformats.org/officeDocument/2006/relationships/hyperlink" Target="https://meteor-uat.aihw.gov.au/content/327268" TargetMode="External" Id="R0ba59eb4649446fb" /><Relationship Type="http://schemas.openxmlformats.org/officeDocument/2006/relationships/hyperlink" Target="https://meteor-uat.aihw.gov.au/content/409067" TargetMode="External" Id="R72ba8cd756ae4f1e" /><Relationship Type="http://schemas.openxmlformats.org/officeDocument/2006/relationships/hyperlink" Target="https://meteor-uat.aihw.gov.au/content/739864" TargetMode="External" Id="Rc27dfed085da4a49" /><Relationship Type="http://schemas.openxmlformats.org/officeDocument/2006/relationships/hyperlink" Target="https://meteor-uat.aihw.gov.au/RegistrationAuthority/14" TargetMode="External" Id="Recefe4fdb0c649b4" /><Relationship Type="http://schemas.openxmlformats.org/officeDocument/2006/relationships/hyperlink" Target="https://meteor-uat.aihw.gov.au/content/426458" TargetMode="External" Id="R5225b4c127eb424c" /><Relationship Type="http://schemas.openxmlformats.org/officeDocument/2006/relationships/hyperlink" Target="https://meteor-uat.aihw.gov.au/content/426458" TargetMode="External" Id="R8c009e201e664e1c" /><Relationship Type="http://schemas.openxmlformats.org/officeDocument/2006/relationships/hyperlink" Target="https://meteor-uat.aihw.gov.au/content/426458" TargetMode="External" Id="Rc6b79a138dff423d" /><Relationship Type="http://schemas.openxmlformats.org/officeDocument/2006/relationships/hyperlink" Target="https://meteor-uat.aihw.gov.au/content/426458" TargetMode="External" Id="Rcf4c92fd510c478e" /><Relationship Type="http://schemas.openxmlformats.org/officeDocument/2006/relationships/hyperlink" Target="https://meteor-uat.aihw.gov.au/content/426458" TargetMode="External" Id="Rdcfaaebf01fd49e7" /><Relationship Type="http://schemas.openxmlformats.org/officeDocument/2006/relationships/hyperlink" Target="https://meteor-uat.aihw.gov.au/content/426458" TargetMode="External" Id="R44a45d71b8594e54" /><Relationship Type="http://schemas.openxmlformats.org/officeDocument/2006/relationships/hyperlink" Target="https://meteor-uat.aihw.gov.au/content/426458" TargetMode="External" Id="R6d9ac3ace28c42b7" /><Relationship Type="http://schemas.openxmlformats.org/officeDocument/2006/relationships/hyperlink" Target="https://meteor-uat.aihw.gov.au/content/721196" TargetMode="External" Id="Ra2dcf2450b164d38" /><Relationship Type="http://schemas.openxmlformats.org/officeDocument/2006/relationships/hyperlink" Target="https://meteor-uat.aihw.gov.au/content/723381" TargetMode="External" Id="R7b065c6be9bd40ac" /><Relationship Type="http://schemas.openxmlformats.org/officeDocument/2006/relationships/hyperlink" Target="https://meteor-uat.aihw.gov.au/RegistrationAuthority/14" TargetMode="External" Id="R7ff937263a49410d" /><Relationship Type="http://schemas.openxmlformats.org/officeDocument/2006/relationships/hyperlink" Target="https://meteor-uat.aihw.gov.au/content/288889" TargetMode="External" Id="Rd4bdc66859274960" /><Relationship Type="http://schemas.openxmlformats.org/officeDocument/2006/relationships/hyperlink" Target="https://meteor-uat.aihw.gov.au/RegistrationAuthority/14" TargetMode="External" Id="Rcd36cf4343b74ff1" /></Relationships>
</file>

<file path=word/_rels/header1.xml.rels>&#65279;<?xml version="1.0" encoding="utf-8"?><Relationships xmlns="http://schemas.openxmlformats.org/package/2006/relationships"><Relationship Type="http://schemas.openxmlformats.org/officeDocument/2006/relationships/image" Target="/media/image.png" Id="R13b5ff4c359a4729" /></Relationships>
</file>