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92603eb5cc4f9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NBEDS December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NBEDS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30bfc93abe45b4">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Indigenous-specific primary health care national best endeavours data set (ISPHC NBEDS) is primarily designed to support the collection of data for use in associated </w:t>
            </w:r>
            <w:hyperlink w:history="true" r:id="R54c8e6afb0294556">
              <w:r>
                <w:rPr>
                  <w:rStyle w:val="Hyperlink"/>
                </w:rPr>
                <w:t xml:space="preserve">national Key Performance Indicators</w:t>
              </w:r>
            </w:hyperlink>
            <w:r>
              <w:rPr>
                <w:rStyle w:val="row-content-rich-text"/>
              </w:rPr>
              <w:t xml:space="preserve"> (nKPIs). Data are collected from Aboriginal and Torres Strait Islander (Indigenous) specific primary health-care organisations funded under the Indigenous Australians’ Health Programme (IAHP).</w:t>
            </w:r>
          </w:p>
          <w:p>
            <w:pPr>
              <w:spacing w:after="160"/>
            </w:pPr>
            <w:r>
              <w:rPr>
                <w:rStyle w:val="row-content-rich-text"/>
              </w:rPr>
              <w:t xml:space="preserve">For the purposes of the ISPHC NBEDS, Indigenous-specific primary health care is defined as:</w:t>
            </w:r>
          </w:p>
          <w:p>
            <w:pPr>
              <w:spacing w:after="160"/>
            </w:pPr>
            <w:r>
              <w:rPr>
                <w:rStyle w:val="row-content-rich-text"/>
              </w:rPr>
              <w:t xml:space="preserve">“…socially and culturally appropriate, universally accessible, scientifically sound, first level care. It is provided by health services and systems with a suitably trained workforce comprised of multidisciplinary teams supported by integrated referral systems in a way that: gives priority to those most in need and addresses health inequalities; maximises community and individual self-reliance, participation and control and; involves collaboration and partnership with other sectors to promote public health. Comprehensive primary health care includes health promotion, illness prevention, treatment, and care of the sick, community development, advocacy, and rehabilitation services.”</w:t>
            </w:r>
          </w:p>
          <w:p>
            <w:pPr>
              <w:spacing w:after="160"/>
            </w:pPr>
            <w:r>
              <w:rPr>
                <w:rStyle w:val="row-content-rich-text"/>
              </w:rPr>
              <w:t xml:space="preserve">This definition has been endorsed by the Aboriginal Medical Services Alliance of the Northern Territory (AMSANT), the Australian General Practice Network (AGPN), the Australian Primary Health Care Research Institute (APHCRI), and the Australian Medical Association (AMA).</w:t>
            </w:r>
          </w:p>
          <w:p>
            <w:pPr>
              <w:spacing w:after="160"/>
            </w:pPr>
            <w:r>
              <w:rPr>
                <w:rStyle w:val="row-content-rich-text"/>
              </w:rPr>
              <w:t xml:space="preserve">Indigenous-specific primary health care organisations include:</w:t>
            </w:r>
          </w:p>
          <w:p>
            <w:pPr>
              <w:pStyle w:val="ListParagraph"/>
              <w:numPr>
                <w:ilvl w:val="0"/>
                <w:numId w:val="2"/>
              </w:numPr>
            </w:pPr>
            <w:r>
              <w:rPr>
                <w:rStyle w:val="row-content-rich-text"/>
              </w:rPr>
              <w:t xml:space="preserve">Aboriginal Community Controlled Health Organisation (ACCHO): primary health-care organisations initiated and operated by the local Aboriginal community to deliver holistic, comprehensive, and culturally appropriate health care to the community which controls it (through a locally elected Board of Management); and</w:t>
            </w:r>
          </w:p>
          <w:p>
            <w:pPr>
              <w:pStyle w:val="ListParagraph"/>
              <w:numPr>
                <w:ilvl w:val="0"/>
                <w:numId w:val="2"/>
              </w:numPr>
            </w:pPr>
            <w:r>
              <w:rPr>
                <w:rStyle w:val="row-content-rich-text"/>
              </w:rPr>
              <w:t xml:space="preserve">Other Aboriginal and/or Torres Strait Islander primary health-care organisation: health organisations funded principally to provide services to Aboriginal and Torres Strait Islander people with funding provided by the Australian Government and/or state or territory governments. These non community-controlled organisations mainly exist in the Northern Territory and the northern part of Queensland.</w:t>
            </w:r>
          </w:p>
          <w:p>
            <w:pPr/>
            <w:r>
              <w:rPr>
                <w:rStyle w:val="row-content-rich-text"/>
              </w:rPr>
              <w:t xml:space="preserve">The ISPHC NBEDS describes (using individual-level data elements) the aggregate data to be provided to the AIHW by those organisations. While the ISPHC NBEDS describes the data by means of individual level data elements, only aggregate data at organisation level are supplied. No individual level client data are supplied.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Each unit represents aggregate data from an individual Indigenous-specific primary health care organisation relating to the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60a3739c0e4542e4">
              <w:r>
                <w:rPr>
                  <w:rStyle w:val="Hyperlink"/>
                  <w:b/>
                </w:rPr>
                <w:t xml:space="preserve">Indigenous regular clients</w:t>
              </w:r>
            </w:hyperlink>
            <w:r>
              <w:rPr>
                <w:rStyle w:val="row-content-rich-text"/>
              </w:rPr>
              <w:t xml:space="preserve"> of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organisation funded under the IAHP to provide Indigenous-specific primary health care records service provision in their Client Information Systems (CIS).</w:t>
            </w:r>
          </w:p>
          <w:p>
            <w:pPr>
              <w:spacing w:after="160"/>
            </w:pPr>
            <w:r>
              <w:rPr>
                <w:rStyle w:val="row-content-rich-text"/>
              </w:rPr>
              <w:t xml:space="preserve">The CISs contain many variables related to individual clients, but only those specified as required for the nKPIs, aggregated for each organisation, are extracted for use. </w:t>
            </w:r>
          </w:p>
          <w:p>
            <w:pPr>
              <w:spacing w:after="160"/>
            </w:pPr>
            <w:r>
              <w:rPr>
                <w:rStyle w:val="row-content-rich-text"/>
              </w:rPr>
              <w:t xml:space="preserve">Data are aggregated using cohort definitions and specialised software and then submitted to the Australian Institute of Health and Welfare (AIHW) via the Health Data Portal (HDP). The HDP is the Commonwealth Department of Health’s secure web-based data submission platform.</w:t>
            </w:r>
          </w:p>
          <w:p>
            <w:pPr>
              <w:spacing w:after="160"/>
            </w:pPr>
            <w:r>
              <w:rPr>
                <w:rStyle w:val="row-content-rich-text"/>
              </w:rPr>
              <w:t xml:space="preserve">Many CIS are able to extract, aggregate and upload the de-individualised data directly to the HDP through a direct-load process. Organisations with systems unable to complete the direct-load process are able to manually enter aggregate data directly into a web-based form through the HDP.</w:t>
            </w:r>
          </w:p>
          <w:p>
            <w:pPr>
              <w:spacing w:after="160"/>
            </w:pPr>
            <w:r>
              <w:rPr>
                <w:rStyle w:val="row-content-rich-text"/>
              </w:rPr>
              <w:t xml:space="preserve">To avoid the complexity required to adequately describe the various permutations of the aggregate data supplied to the AIHW, the ISPHC NBEDS describes the data to be collected in terms of individual level data elements, however, only aggregate organisational level data derived from these data elements is supplied to the AIHW.</w:t>
            </w:r>
          </w:p>
          <w:p>
            <w:pPr>
              <w:spacing w:after="160"/>
            </w:pPr>
            <w:r>
              <w:rPr>
                <w:rStyle w:val="row-content-rich-text"/>
              </w:rPr>
              <w:t xml:space="preserve">For example, to report the number of Indigenous regular clients aged 15 and over with a smoking status recorded, organisations report the count of persons where:</w:t>
            </w:r>
          </w:p>
          <w:p>
            <w:pPr>
              <w:pStyle w:val="ListParagraph"/>
              <w:numPr>
                <w:ilvl w:val="0"/>
                <w:numId w:val="3"/>
              </w:numPr>
            </w:pPr>
            <w:hyperlink w:history="true" r:id="R4ee59b0988054084">
              <w:r>
                <w:rPr>
                  <w:rStyle w:val="Hyperlink"/>
                </w:rPr>
                <w:t xml:space="preserve">Person—Indigenous status, code N</w:t>
              </w:r>
            </w:hyperlink>
            <w:r>
              <w:rPr>
                <w:rStyle w:val="row-content-rich-text"/>
              </w:rPr>
              <w:t xml:space="preserve"> includes a value of either </w:t>
            </w:r>
            <w:r>
              <w:rPr>
                <w:rStyle w:val="row-content-rich-text"/>
                <w:i/>
              </w:rPr>
              <w:t xml:space="preserve">'CODE 1: Aboriginal but not Torres Strait Islander origin'</w:t>
            </w:r>
            <w:r>
              <w:rPr>
                <w:rStyle w:val="row-content-rich-text"/>
              </w:rPr>
              <w:t xml:space="preserve"> OR </w:t>
            </w:r>
            <w:r>
              <w:rPr>
                <w:rStyle w:val="row-content-rich-text"/>
                <w:i/>
              </w:rPr>
              <w:t xml:space="preserve">'CODE 2: Torres Strait Islander but not Aboriginal origin'</w:t>
            </w:r>
            <w:r>
              <w:rPr>
                <w:rStyle w:val="row-content-rich-text"/>
              </w:rPr>
              <w:t xml:space="preserve"> OR </w:t>
            </w:r>
            <w:r>
              <w:rPr>
                <w:rStyle w:val="row-content-rich-text"/>
                <w:i/>
              </w:rPr>
              <w:t xml:space="preserve">'CODE 3: Both Aboriginal and Torres Strait Islander origin'</w:t>
            </w:r>
            <w:r>
              <w:rPr>
                <w:rStyle w:val="row-content-rich-text"/>
              </w:rPr>
              <w:t xml:space="preserve">; AND</w:t>
            </w:r>
          </w:p>
          <w:p>
            <w:pPr>
              <w:pStyle w:val="ListParagraph"/>
              <w:numPr>
                <w:ilvl w:val="0"/>
                <w:numId w:val="3"/>
              </w:numPr>
            </w:pPr>
            <w:hyperlink w:history="true" r:id="R81856dc0bf6c4065">
              <w:r>
                <w:rPr>
                  <w:rStyle w:val="Hyperlink"/>
                </w:rPr>
                <w:t xml:space="preserve">Person—regular client indicator, yes/no code N</w:t>
              </w:r>
            </w:hyperlink>
            <w:r>
              <w:rPr>
                <w:rStyle w:val="row-content-rich-text"/>
              </w:rPr>
              <w:t xml:space="preserve"> includes a value of '</w:t>
            </w:r>
            <w:r>
              <w:rPr>
                <w:rStyle w:val="row-content-rich-text"/>
                <w:i/>
              </w:rPr>
              <w:t xml:space="preserve">CODE 1: Yes</w:t>
            </w:r>
            <w:r>
              <w:rPr>
                <w:rStyle w:val="row-content-rich-text"/>
              </w:rPr>
              <w:t xml:space="preserve">'; AND</w:t>
            </w:r>
          </w:p>
          <w:p>
            <w:pPr>
              <w:pStyle w:val="ListParagraph"/>
              <w:numPr>
                <w:ilvl w:val="0"/>
                <w:numId w:val="3"/>
              </w:numPr>
            </w:pPr>
            <w:hyperlink w:history="true" r:id="R46caddba3d424914">
              <w:r>
                <w:rPr>
                  <w:rStyle w:val="Hyperlink"/>
                </w:rPr>
                <w:t xml:space="preserve">Person—age, total years N[NN]</w:t>
              </w:r>
            </w:hyperlink>
            <w:r>
              <w:rPr>
                <w:rStyle w:val="row-content-rich-text"/>
              </w:rPr>
              <w:t xml:space="preserve"> includes a value </w:t>
            </w:r>
            <w:r>
              <w:rPr>
                <w:rStyle w:val="row-content-rich-text"/>
                <w:i/>
              </w:rPr>
              <w:t xml:space="preserve">≥ 15 years</w:t>
            </w:r>
            <w:r>
              <w:rPr>
                <w:rStyle w:val="row-content-rich-text"/>
              </w:rPr>
              <w:t xml:space="preserve">; AND</w:t>
            </w:r>
          </w:p>
          <w:p>
            <w:pPr>
              <w:pStyle w:val="ListParagraph"/>
              <w:numPr>
                <w:ilvl w:val="0"/>
                <w:numId w:val="3"/>
              </w:numPr>
            </w:pPr>
            <w:hyperlink w:history="true" r:id="R6926c435154c41bf">
              <w:r>
                <w:rPr>
                  <w:rStyle w:val="Hyperlink"/>
                </w:rPr>
                <w:t xml:space="preserve">Person—smoking status recorded indicator, yes/no code N</w:t>
              </w:r>
            </w:hyperlink>
            <w:r>
              <w:rPr>
                <w:rStyle w:val="row-content-rich-text"/>
              </w:rPr>
              <w:t xml:space="preserve"> includes a value of </w:t>
            </w:r>
            <w:r>
              <w:rPr>
                <w:rStyle w:val="row-content-rich-text"/>
                <w:i/>
              </w:rPr>
              <w:t xml:space="preserve">'CODE 1: Yes'</w:t>
            </w:r>
            <w:r>
              <w:rPr>
                <w:rStyle w:val="row-content-rich-text"/>
              </w:rPr>
              <w:t xml:space="preserve">,</w:t>
            </w:r>
          </w:p>
          <w:p>
            <w:pPr>
              <w:spacing w:after="160"/>
            </w:pPr>
            <w:r>
              <w:rPr>
                <w:rStyle w:val="row-content-rich-text"/>
              </w:rPr>
              <w:t xml:space="preserve">but do not include individual client records.</w:t>
            </w:r>
          </w:p>
          <w:p>
            <w:pPr>
              <w:spacing w:after="160"/>
            </w:pPr>
            <w:r>
              <w:rPr>
                <w:rStyle w:val="row-content-rich-text"/>
              </w:rPr>
              <w:t xml:space="preserve">More information on the data to be supplied can be found in the User guide (AIHW 2020).</w:t>
            </w:r>
          </w:p>
          <w:p>
            <w:pPr>
              <w:spacing w:after="160"/>
            </w:pPr>
            <w:r>
              <w:rPr>
                <w:rStyle w:val="row-content-rich-text"/>
              </w:rPr>
              <w:t xml:space="preserve">The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f04c9be7ea424f98">
              <w:r>
                <w:rPr>
                  <w:rStyle w:val="Hyperlink"/>
                  <w:b/>
                </w:rPr>
                <w:t xml:space="preserve">Indigenous regular client</w:t>
              </w:r>
            </w:hyperlink>
            <w:r>
              <w:rPr>
                <w:rStyle w:val="row-content-rich-text"/>
              </w:rPr>
              <w:t xml:space="preserve"> status of a client is determined by the organisation.</w:t>
            </w:r>
          </w:p>
          <w:p>
            <w:pPr>
              <w:spacing w:after="160"/>
            </w:pPr>
            <w:r>
              <w:rPr>
                <w:rStyle w:val="row-content-rich-text"/>
                <w:b/>
              </w:rPr>
              <w:t xml:space="preserve">National reporting arrangements</w:t>
            </w:r>
          </w:p>
          <w:p>
            <w:pPr>
              <w:spacing w:after="160"/>
            </w:pPr>
            <w:r>
              <w:rPr>
                <w:rStyle w:val="row-content-rich-text"/>
              </w:rPr>
              <w:t xml:space="preserve">Each organisation funded to provide Indigenous-specific primary health care should record service provision in clinical information management systems that allow the electronic transmission of data for reporting.</w:t>
            </w:r>
          </w:p>
          <w:p>
            <w:pPr>
              <w:spacing w:after="160"/>
            </w:pPr>
            <w:r>
              <w:rPr>
                <w:rStyle w:val="row-content-rich-text"/>
                <w:b/>
              </w:rPr>
              <w:t xml:space="preserve">Periods for which data are collected and nationally collated</w:t>
            </w:r>
          </w:p>
          <w:p>
            <w:pPr>
              <w:spacing w:after="160"/>
            </w:pPr>
            <w:r>
              <w:rPr>
                <w:rStyle w:val="row-content-rich-text"/>
              </w:rPr>
              <w:t xml:space="preserve">Data are supplied on a 6-monthly basis. The December 2020 ISPHC NBEDS describes the data census date 31 December 2020, and covers the period (depending on the indicator involved):</w:t>
            </w:r>
          </w:p>
          <w:p>
            <w:pPr>
              <w:pStyle w:val="ListParagraph"/>
              <w:numPr>
                <w:ilvl w:val="0"/>
                <w:numId w:val="4"/>
              </w:numPr>
            </w:pPr>
            <w:r>
              <w:rPr>
                <w:rStyle w:val="row-content-rich-text"/>
              </w:rPr>
              <w:t xml:space="preserve">6 months up to the census date, that is, from 1 July 2020 to 31 December 2020, or</w:t>
            </w:r>
          </w:p>
          <w:p>
            <w:pPr>
              <w:pStyle w:val="ListParagraph"/>
              <w:numPr>
                <w:ilvl w:val="0"/>
                <w:numId w:val="4"/>
              </w:numPr>
            </w:pPr>
            <w:r>
              <w:rPr>
                <w:rStyle w:val="row-content-rich-text"/>
              </w:rPr>
              <w:t xml:space="preserve">12 months up to the census date, that is, from 1 January 2020 to 31 December 2020, or</w:t>
            </w:r>
          </w:p>
          <w:p>
            <w:pPr>
              <w:pStyle w:val="ListParagraph"/>
              <w:numPr>
                <w:ilvl w:val="0"/>
                <w:numId w:val="4"/>
              </w:numPr>
            </w:pPr>
            <w:r>
              <w:rPr>
                <w:rStyle w:val="row-content-rich-text"/>
              </w:rPr>
              <w:t xml:space="preserve">24 months up to the census date, that is, from 1 January 2019 to 31 December 2020, or</w:t>
            </w:r>
          </w:p>
          <w:p>
            <w:pPr>
              <w:pStyle w:val="ListParagraph"/>
              <w:numPr>
                <w:ilvl w:val="0"/>
                <w:numId w:val="4"/>
              </w:numPr>
            </w:pPr>
            <w:r>
              <w:rPr>
                <w:rStyle w:val="row-content-rich-text"/>
              </w:rPr>
              <w:t xml:space="preserve">5 years up to the census date where the test occurred on or after 1 December 2017, that is, from 1 December 2017 to 31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31/12/2020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2020. AIHW national Key Performance Indicators (nKPI) data collection: user guide, December 2020. AIHW, Canberra, viewed 24 February 2021, &lt;</w:t>
            </w:r>
            <w:hyperlink w:history="true" r:id="Rdc47732db11f4f99">
              <w:r>
                <w:rPr>
                  <w:rStyle w:val="Hyperlink"/>
                </w:rPr>
                <w:t xml:space="preserve">https://dataportal.health.gov.au/wps/wcm/connect/dataportal/37641a96-9df0-4d40-8b21-51721c5e80e5/nKPI+User+Guide+for+December+2020+collection+period.pdf?MOD=AJPERES</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a26f5115654cba">
              <w:r>
                <w:rPr>
                  <w:rStyle w:val="Hyperlink"/>
                </w:rPr>
                <w:t xml:space="preserve">Indigenous primary health care NBEDS 2019–20</w:t>
              </w:r>
            </w:hyperlink>
          </w:p>
          <w:p>
            <w:pPr>
              <w:pStyle w:val="registration-status"/>
              <w:spacing w:before="0" w:after="0"/>
            </w:pPr>
            <w:hyperlink w:history="true" r:id="R32493a602395481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281139bbde34c23">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fc6646b7eabd4167">
              <w:r>
                <w:rPr>
                  <w:rStyle w:val="Hyperlink"/>
                </w:rPr>
                <w:t xml:space="preserve">Indigenous-specific primary health care national key performance indicators December 2020</w:t>
              </w:r>
            </w:hyperlink>
          </w:p>
          <w:p>
            <w:pPr>
              <w:pStyle w:val="registration-status"/>
              <w:spacing w:before="0" w:after="0"/>
            </w:pPr>
            <w:hyperlink w:history="true" r:id="Re48eaa5ace3843b5">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32d32f50224d09">
                    <w:r>
                      <w:rPr>
                        <w:rStyle w:val="Hyperlink"/>
                      </w:rPr>
                      <w:t xml:space="preserve">Address—address site name, text X[X(49)]</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In the ISPHC NBEDS, this data element is reported twice, for:</w:t>
                  </w:r>
                </w:p>
                <w:p>
                  <w:pPr>
                    <w:pStyle w:val="ListParagraph"/>
                    <w:numPr>
                      <w:ilvl w:val="0"/>
                      <w:numId w:val="5"/>
                    </w:numPr>
                  </w:pPr>
                  <w:r>
                    <w:t xml:space="preserve">the organisation's physical address</w:t>
                  </w:r>
                </w:p>
                <w:p>
                  <w:pPr>
                    <w:pStyle w:val="ListParagraph"/>
                    <w:numPr>
                      <w:ilvl w:val="0"/>
                      <w:numId w:val="5"/>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171ffe46d34c78">
                    <w:r>
                      <w:rPr>
                        <w:rStyle w:val="Hyperlink"/>
                      </w:rPr>
                      <w:t xml:space="preserve">Address—Australian postcode, code (Postcode datafile) NNNN</w:t>
                    </w:r>
                  </w:hyperlink>
                </w:p>
                <w:p>
                  <w:r>
                    <w:rPr>
                      <w:b/>
                      <w:i/>
                      <w:color w:val="333333"/>
                    </w:rPr>
                    <w:t xml:space="preserve">DSS specific information:</w:t>
                  </w:r>
                </w:p>
                <w:p>
                  <w:r>
                    <w:t xml:space="preserve">In the ISPHC NBEDS, this data element is reported twice, for:</w:t>
                  </w:r>
                </w:p>
                <w:p>
                  <w:pPr>
                    <w:pStyle w:val="ListParagraph"/>
                    <w:numPr>
                      <w:ilvl w:val="0"/>
                      <w:numId w:val="6"/>
                    </w:numPr>
                  </w:pPr>
                  <w:r>
                    <w:t xml:space="preserve">the organisation's physical address</w:t>
                  </w:r>
                </w:p>
                <w:p>
                  <w:pPr>
                    <w:pStyle w:val="ListParagraph"/>
                    <w:numPr>
                      <w:ilvl w:val="0"/>
                      <w:numId w:val="6"/>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860d8976a9478e">
                    <w:r>
                      <w:rPr>
                        <w:rStyle w:val="Hyperlink"/>
                      </w:rPr>
                      <w:t xml:space="preserve">Address—Australian state/territory identifier, code AA[A]</w:t>
                    </w:r>
                  </w:hyperlink>
                </w:p>
                <w:p>
                  <w:r>
                    <w:rPr>
                      <w:b/>
                      <w:i/>
                      <w:color w:val="333333"/>
                    </w:rPr>
                    <w:t xml:space="preserve">DSS specific information:</w:t>
                  </w:r>
                </w:p>
                <w:p>
                  <w:r>
                    <w:t xml:space="preserve">In the ISPHC NBEDS, this data element is reported twice, for:</w:t>
                  </w:r>
                </w:p>
                <w:p>
                  <w:pPr>
                    <w:pStyle w:val="ListParagraph"/>
                    <w:numPr>
                      <w:ilvl w:val="0"/>
                      <w:numId w:val="7"/>
                    </w:numPr>
                  </w:pPr>
                  <w:r>
                    <w:t xml:space="preserve">the organisation's physical address</w:t>
                  </w:r>
                </w:p>
                <w:p>
                  <w:pPr>
                    <w:pStyle w:val="ListParagraph"/>
                    <w:numPr>
                      <w:ilvl w:val="0"/>
                      <w:numId w:val="7"/>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ec0f62c0a74691">
                    <w:r>
                      <w:rPr>
                        <w:rStyle w:val="Hyperlink"/>
                      </w:rPr>
                      <w:t xml:space="preserve">Address—electronic communication address, text X[X(1099)]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5527e7f9ff4ee3">
                    <w:r>
                      <w:rPr>
                        <w:rStyle w:val="Hyperlink"/>
                      </w:rPr>
                      <w:t xml:space="preserve">Address—electronic communication medium,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e2799c36dd4883">
                    <w:r>
                      <w:rPr>
                        <w:rStyle w:val="Hyperlink"/>
                      </w:rPr>
                      <w:t xml:space="preserve">Address—road name, text X[X(44)]</w:t>
                    </w:r>
                  </w:hyperlink>
                </w:p>
                <w:p>
                  <w:r>
                    <w:rPr>
                      <w:b/>
                      <w:i/>
                      <w:color w:val="333333"/>
                    </w:rPr>
                    <w:t xml:space="preserve">DSS specific information:</w:t>
                  </w:r>
                </w:p>
                <w:p>
                  <w:r>
                    <w:t xml:space="preserve">In the ISPHC NBEDS, this data element is reported twice, for:</w:t>
                  </w:r>
                </w:p>
                <w:p>
                  <w:pPr>
                    <w:pStyle w:val="ListParagraph"/>
                    <w:numPr>
                      <w:ilvl w:val="0"/>
                      <w:numId w:val="8"/>
                    </w:numPr>
                  </w:pPr>
                  <w:r>
                    <w:t xml:space="preserve">the organisation's physical address</w:t>
                  </w:r>
                </w:p>
                <w:p>
                  <w:pPr>
                    <w:pStyle w:val="ListParagraph"/>
                    <w:numPr>
                      <w:ilvl w:val="0"/>
                      <w:numId w:val="8"/>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23353e1bcc4e8f">
                    <w:r>
                      <w:rPr>
                        <w:rStyle w:val="Hyperlink"/>
                      </w:rPr>
                      <w:t xml:space="preserve">Address—road number 1, road number XXXXXX</w:t>
                    </w:r>
                  </w:hyperlink>
                </w:p>
                <w:p>
                  <w:r>
                    <w:rPr>
                      <w:b/>
                      <w:i/>
                      <w:color w:val="333333"/>
                    </w:rPr>
                    <w:t xml:space="preserve">DSS specific information:</w:t>
                  </w:r>
                </w:p>
                <w:p>
                  <w:r>
                    <w:t xml:space="preserve">In the ISPHC NBEDS, this data element is reported twice, for:</w:t>
                  </w:r>
                </w:p>
                <w:p>
                  <w:pPr>
                    <w:pStyle w:val="ListParagraph"/>
                    <w:numPr>
                      <w:ilvl w:val="0"/>
                      <w:numId w:val="9"/>
                    </w:numPr>
                  </w:pPr>
                  <w:r>
                    <w:t xml:space="preserve">the organisation's physical address</w:t>
                  </w:r>
                </w:p>
                <w:p>
                  <w:pPr>
                    <w:pStyle w:val="ListParagraph"/>
                    <w:numPr>
                      <w:ilvl w:val="0"/>
                      <w:numId w:val="9"/>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e3f4839a59495d">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In the ISPHC NBEDS, this data element is reported twice, for:</w:t>
                  </w:r>
                </w:p>
                <w:p>
                  <w:pPr>
                    <w:pStyle w:val="ListParagraph"/>
                    <w:numPr>
                      <w:ilvl w:val="0"/>
                      <w:numId w:val="10"/>
                    </w:numPr>
                  </w:pPr>
                  <w:r>
                    <w:t xml:space="preserve">the organisation's physical address</w:t>
                  </w:r>
                </w:p>
                <w:p>
                  <w:pPr>
                    <w:pStyle w:val="ListParagraph"/>
                    <w:numPr>
                      <w:ilvl w:val="0"/>
                      <w:numId w:val="10"/>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e77773dc1b457d">
                    <w:r>
                      <w:rPr>
                        <w:rStyle w:val="Hyperlink"/>
                      </w:rPr>
                      <w:t xml:space="preserve">Address—road type, code AA[AA]</w:t>
                    </w:r>
                  </w:hyperlink>
                </w:p>
                <w:p>
                  <w:r>
                    <w:rPr>
                      <w:b/>
                      <w:i/>
                      <w:color w:val="333333"/>
                    </w:rPr>
                    <w:t xml:space="preserve">DSS specific information:</w:t>
                  </w:r>
                </w:p>
                <w:p>
                  <w:r>
                    <w:t xml:space="preserve">In the ISPHC NBEDS, this data element is reported twice, for:</w:t>
                  </w:r>
                </w:p>
                <w:p>
                  <w:pPr>
                    <w:pStyle w:val="ListParagraph"/>
                    <w:numPr>
                      <w:ilvl w:val="0"/>
                      <w:numId w:val="11"/>
                    </w:numPr>
                  </w:pPr>
                  <w:r>
                    <w:t xml:space="preserve">the organisation's physical address</w:t>
                  </w:r>
                </w:p>
                <w:p>
                  <w:pPr>
                    <w:pStyle w:val="ListParagraph"/>
                    <w:numPr>
                      <w:ilvl w:val="0"/>
                      <w:numId w:val="11"/>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a1c7e7f34e4a1f">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In the ISPHC NBEDS, this data element is reported twice, for:</w:t>
                  </w:r>
                </w:p>
                <w:p>
                  <w:pPr>
                    <w:pStyle w:val="ListParagraph"/>
                    <w:numPr>
                      <w:ilvl w:val="0"/>
                      <w:numId w:val="12"/>
                    </w:numPr>
                  </w:pPr>
                  <w:r>
                    <w:t xml:space="preserve">the organisation's physical address</w:t>
                  </w:r>
                </w:p>
                <w:p>
                  <w:pPr>
                    <w:pStyle w:val="ListParagraph"/>
                    <w:numPr>
                      <w:ilvl w:val="0"/>
                      <w:numId w:val="12"/>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282f077e0a47c2">
                    <w:r>
                      <w:rPr>
                        <w:rStyle w:val="Hyperlink"/>
                      </w:rPr>
                      <w:t xml:space="preserve">Address—suburb/town/locality name, text X[X(45)]</w:t>
                    </w:r>
                  </w:hyperlink>
                </w:p>
                <w:p>
                  <w:r>
                    <w:rPr>
                      <w:b/>
                      <w:i/>
                      <w:color w:val="333333"/>
                    </w:rPr>
                    <w:t xml:space="preserve">DSS specific information:</w:t>
                  </w:r>
                </w:p>
                <w:p>
                  <w:r>
                    <w:t xml:space="preserve">In the ISPHC NBEDS, this data element is reported twice, for:</w:t>
                  </w:r>
                </w:p>
                <w:p>
                  <w:pPr>
                    <w:pStyle w:val="ListParagraph"/>
                    <w:numPr>
                      <w:ilvl w:val="0"/>
                      <w:numId w:val="13"/>
                    </w:numPr>
                  </w:pPr>
                  <w:r>
                    <w:t xml:space="preserve">the organisation's physical address</w:t>
                  </w:r>
                </w:p>
                <w:p>
                  <w:pPr>
                    <w:pStyle w:val="ListParagraph"/>
                    <w:numPr>
                      <w:ilvl w:val="0"/>
                      <w:numId w:val="13"/>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31e83c793d4036">
                    <w:r>
                      <w:rPr>
                        <w:rStyle w:val="Hyperlink"/>
                      </w:rPr>
                      <w:t xml:space="preserve">Child—fully immunised recorded indicator, yes/no code N</w:t>
                    </w:r>
                  </w:hyperlink>
                </w:p>
                <w:p>
                  <w:r>
                    <w:rPr>
                      <w:b/>
                      <w:i/>
                      <w:color w:val="333333"/>
                    </w:rPr>
                    <w:t xml:space="preserve">Conditional obligation:</w:t>
                  </w:r>
                </w:p>
                <w:p>
                  <w:r>
                    <w:t xml:space="preserve">Reporting against this data element is conditional upon a person being aged ≥ 12 months and &lt; 72 months at the census date.</w:t>
                  </w:r>
                </w:p>
                <w:p>
                  <w:r>
                    <w:rPr>
                      <w:b/>
                      <w:i/>
                      <w:color w:val="333333"/>
                    </w:rPr>
                    <w:t xml:space="preserve">DSS specific information:</w:t>
                  </w:r>
                </w:p>
                <w:p>
                  <w:r>
                    <w:t xml:space="preserve">In the ISPHC NBEDS, a child is considered ‘fully immunised’ if they have received the relevant vaccinations as per the National Immunisation Program Schedule by the specified age milestones.</w:t>
                  </w:r>
                  <w:r>
                    <w:br/>
                  </w:r>
                  <w:r>
                    <w:t xml:space="preserve">Currently, these vaccinations include:</w:t>
                  </w:r>
                </w:p>
                <w:p>
                  <w:pPr>
                    <w:pStyle w:val="ListParagraph"/>
                    <w:numPr>
                      <w:ilvl w:val="0"/>
                      <w:numId w:val="14"/>
                    </w:numPr>
                  </w:pPr>
                  <w:r>
                    <w:t xml:space="preserve">DTPa (diphtheria, tetanus, pertussis)</w:t>
                  </w:r>
                </w:p>
                <w:p>
                  <w:pPr>
                    <w:pStyle w:val="ListParagraph"/>
                    <w:numPr>
                      <w:ilvl w:val="0"/>
                      <w:numId w:val="14"/>
                    </w:numPr>
                  </w:pPr>
                  <w:r>
                    <w:t xml:space="preserve">Polio</w:t>
                  </w:r>
                </w:p>
                <w:p>
                  <w:pPr>
                    <w:pStyle w:val="ListParagraph"/>
                    <w:numPr>
                      <w:ilvl w:val="0"/>
                      <w:numId w:val="14"/>
                    </w:numPr>
                  </w:pPr>
                  <w:r>
                    <w:t xml:space="preserve">HiB (haemophilus influenzae type B)</w:t>
                  </w:r>
                </w:p>
                <w:p>
                  <w:pPr>
                    <w:pStyle w:val="ListParagraph"/>
                    <w:numPr>
                      <w:ilvl w:val="0"/>
                      <w:numId w:val="14"/>
                    </w:numPr>
                  </w:pPr>
                  <w:r>
                    <w:t xml:space="preserve">Hep B (hepatitis B)</w:t>
                  </w:r>
                </w:p>
                <w:p>
                  <w:pPr>
                    <w:pStyle w:val="ListParagraph"/>
                    <w:numPr>
                      <w:ilvl w:val="0"/>
                      <w:numId w:val="14"/>
                    </w:numPr>
                  </w:pPr>
                  <w:r>
                    <w:t xml:space="preserve">MMR (measles, mumps, rubella).</w:t>
                  </w:r>
                </w:p>
                <w:p>
                  <w:r>
                    <w:t xml:space="preserve">The age milestones are as follows:</w:t>
                  </w:r>
                </w:p>
                <w:p>
                  <w:pPr>
                    <w:pStyle w:val="ListParagraph"/>
                    <w:numPr>
                      <w:ilvl w:val="0"/>
                      <w:numId w:val="15"/>
                    </w:numPr>
                  </w:pPr>
                  <w:r>
                    <w:t xml:space="preserve">at 12 months: 3 doses DTPa; 3 doses Polio; 2 or 3 doses HiB; 2 or 3 doses Hep B</w:t>
                  </w:r>
                </w:p>
                <w:p>
                  <w:pPr>
                    <w:pStyle w:val="ListParagraph"/>
                    <w:numPr>
                      <w:ilvl w:val="0"/>
                      <w:numId w:val="15"/>
                    </w:numPr>
                  </w:pPr>
                  <w:r>
                    <w:t xml:space="preserve">at 24 months: 3 doses DTPa; 3 doses Polio; 3 or 4 doses HiB; 3 doses Hep B; 1 dose MMR</w:t>
                  </w:r>
                </w:p>
                <w:p>
                  <w:pPr>
                    <w:pStyle w:val="ListParagraph"/>
                    <w:numPr>
                      <w:ilvl w:val="0"/>
                      <w:numId w:val="15"/>
                    </w:numPr>
                  </w:pPr>
                  <w:r>
                    <w:t xml:space="preserve">at 60 months: 4 doses DTPa; 4 doses Polio; 2 doses MMR.</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e30606e591425f">
                    <w:r>
                      <w:rPr>
                        <w:rStyle w:val="Hyperlink"/>
                      </w:rPr>
                      <w:t xml:space="preserve">Female—cervical screening indicator, yes/no/not stated/inadequately described code N</w:t>
                    </w:r>
                  </w:hyperlink>
                </w:p>
                <w:p>
                  <w:r>
                    <w:rPr>
                      <w:b/>
                      <w:i/>
                      <w:color w:val="333333"/>
                    </w:rPr>
                    <w:t xml:space="preserve">Conditional obligation:</w:t>
                  </w:r>
                </w:p>
                <w:p>
                  <w:r>
                    <w:t xml:space="preserve">Reporting against this data element is conditional on</w:t>
                  </w:r>
                </w:p>
                <w:p>
                  <w:pPr>
                    <w:pStyle w:val="ListParagraph"/>
                    <w:numPr>
                      <w:ilvl w:val="0"/>
                      <w:numId w:val="16"/>
                    </w:numPr>
                  </w:pPr>
                  <w:r>
                    <w:t xml:space="preserve">a 'CODE 2 Female' response to </w:t>
                  </w:r>
                  <w:hyperlink w:history="true" r:id="R7eae945d128f4b1e">
                    <w:r>
                      <w:rPr>
                        <w:rStyle w:val="Hyperlink"/>
                      </w:rPr>
                      <w:t xml:space="preserve">Person—sex, code X</w:t>
                    </w:r>
                  </w:hyperlink>
                  <w:r>
                    <w:t xml:space="preserve">, and</w:t>
                  </w:r>
                </w:p>
                <w:p>
                  <w:pPr>
                    <w:pStyle w:val="ListParagraph"/>
                    <w:numPr>
                      <w:ilvl w:val="0"/>
                      <w:numId w:val="16"/>
                    </w:numPr>
                  </w:pPr>
                  <w:r>
                    <w:t xml:space="preserve">a 'CODE 2 No' response to '</w:t>
                  </w:r>
                  <w:hyperlink w:history="true" r:id="Re81e2011ba9f4d20">
                    <w:r>
                      <w:rPr>
                        <w:rStyle w:val="Hyperlink"/>
                      </w:rPr>
                      <w:t xml:space="preserve">Female—hysterectomy indicator, yes/no code N</w:t>
                    </w:r>
                  </w:hyperlink>
                  <w:r>
                    <w:t xml:space="preserve">', and</w:t>
                  </w:r>
                </w:p>
                <w:p>
                  <w:pPr>
                    <w:pStyle w:val="ListParagraph"/>
                    <w:numPr>
                      <w:ilvl w:val="0"/>
                      <w:numId w:val="16"/>
                    </w:numPr>
                  </w:pPr>
                  <w:r>
                    <w:t xml:space="preserve">a person being aged ≥ 25 years and &lt; 75 years at the census date</w:t>
                  </w:r>
                </w:p>
                <w:p>
                  <w:r>
                    <w:rPr>
                      <w:b/>
                      <w:i/>
                      <w:color w:val="333333"/>
                    </w:rPr>
                    <w:t xml:space="preserve">DSS specific information:</w:t>
                  </w:r>
                </w:p>
                <w:p>
                  <w:r>
                    <w:t xml:space="preserve">In the ISPHC NBEDS data are provided to the AIHW for female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beb5670ea21f4e1e">
                    <w:r>
                      <w:rPr>
                        <w:rStyle w:val="Hyperlink"/>
                        <w:b/>
                      </w:rPr>
                      <w:t xml:space="preserve">Indigenous regular clients</w:t>
                    </w:r>
                  </w:hyperlink>
                  <w:r>
                    <w:t xml:space="preserve"> aged 25–74, who have not had a hysterectomy, and who have had a cervical screening human papillomavirus (HPV) test within the 5 years up to the census date, where the test occurred on or after 1 December 2017. Specifically, </w:t>
                  </w:r>
                </w:p>
                <w:p>
                  <w:pPr>
                    <w:pStyle w:val="ListParagraph"/>
                    <w:numPr>
                      <w:ilvl w:val="0"/>
                      <w:numId w:val="17"/>
                    </w:numPr>
                  </w:pPr>
                  <w:r>
                    <w:t xml:space="preserve">for 30 December 2020, where an HPV test has been recorded since 1 December 2017 (past 3 years and one month)</w:t>
                  </w:r>
                </w:p>
                <w:p>
                  <w:pPr>
                    <w:pStyle w:val="ListParagraph"/>
                    <w:numPr>
                      <w:ilvl w:val="0"/>
                      <w:numId w:val="17"/>
                    </w:numPr>
                  </w:pPr>
                  <w:r>
                    <w:t xml:space="preserve">for 30 December 2021, where an HPV test has been recorded since 1 December 2017 (past 4 years and one month)</w:t>
                  </w:r>
                </w:p>
                <w:p>
                  <w:pPr>
                    <w:pStyle w:val="ListParagraph"/>
                    <w:numPr>
                      <w:ilvl w:val="0"/>
                      <w:numId w:val="17"/>
                    </w:numPr>
                  </w:pPr>
                  <w:r>
                    <w:t xml:space="preserve">for 30 December 2022 onwards, where an HPV test has been recorded in the past 5 years.</w:t>
                  </w:r>
                </w:p>
                <w:p>
                  <w:r>
                    <w:t xml:space="preserve">Data are recorded for HPV test results where the sample is either collected by a health practitioner or self-collected.</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38397069a34432">
                    <w:r>
                      <w:rPr>
                        <w:rStyle w:val="Hyperlink"/>
                      </w:rPr>
                      <w:t xml:space="preserve">Female—childbirth indicator, yes/no/not stated/inadequately described code N</w:t>
                    </w:r>
                  </w:hyperlink>
                </w:p>
                <w:p>
                  <w:r>
                    <w:rPr>
                      <w:b/>
                      <w:i/>
                      <w:color w:val="333333"/>
                    </w:rPr>
                    <w:t xml:space="preserve">Conditional obligation:</w:t>
                  </w:r>
                </w:p>
                <w:p>
                  <w:r>
                    <w:t xml:space="preserve">Reporting against this data element is conditional on a 'CODE 2 Female' response to '</w:t>
                  </w:r>
                  <w:hyperlink w:history="true" r:id="R84130d5ee5554273">
                    <w:r>
                      <w:rPr>
                        <w:rStyle w:val="Hyperlink"/>
                      </w:rPr>
                      <w:t xml:space="preserve">Person—sex, code X</w:t>
                    </w:r>
                  </w:hyperlink>
                  <w:r>
                    <w:t xml:space="preserve">'.</w:t>
                  </w:r>
                </w:p>
                <w:p>
                  <w:r>
                    <w:t xml:space="preserve">Data are only provided to the AIHW for females who gave birth during the 12 months up to the census date.</w:t>
                  </w:r>
                </w:p>
                <w:p>
                  <w:r>
                    <w:t xml:space="preserve">Data are provided to the AIHW 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7cc9d4edf234a8d">
                    <w:r>
                      <w:rPr>
                        <w:rStyle w:val="Hyperlink"/>
                        <w:b/>
                      </w:rPr>
                      <w:t xml:space="preserve">live births</w:t>
                    </w:r>
                  </w:hyperlink>
                  <w: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dda8045d460842a5">
                    <w:r>
                      <w:rPr>
                        <w:rStyle w:val="Hyperlink"/>
                        <w:b/>
                      </w:rPr>
                      <w:t xml:space="preserve">still births</w:t>
                    </w:r>
                  </w:hyperlink>
                  <w:r>
                    <w:t xml:space="preserve"> if the birthweight was at least 400 grams or the gestational age was 20 weeks or more.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4edf6ade394688">
                    <w:r>
                      <w:rPr>
                        <w:rStyle w:val="Hyperlink"/>
                      </w:rPr>
                      <w:t xml:space="preserve">Female—hysterectomy indicator, yes/no code N</w:t>
                    </w:r>
                  </w:hyperlink>
                </w:p>
                <w:p>
                  <w:r>
                    <w:rPr>
                      <w:b/>
                      <w:i/>
                      <w:color w:val="333333"/>
                    </w:rPr>
                    <w:t xml:space="preserve">Conditional obligation:</w:t>
                  </w:r>
                </w:p>
                <w:p>
                  <w:r>
                    <w:t xml:space="preserve">Reporting against this data element is conditional on a 'CODE 2 Female' response to </w:t>
                  </w:r>
                  <w:hyperlink w:history="true" r:id="R279488a4f59343da">
                    <w:r>
                      <w:rPr>
                        <w:rStyle w:val="Hyperlink"/>
                      </w:rPr>
                      <w:t xml:space="preserve">Person—sex, code X</w:t>
                    </w:r>
                  </w:hyperlink>
                  <w:r>
                    <w:t xml:space="preserve">.</w:t>
                  </w:r>
                </w:p>
                <w:p>
                  <w:r>
                    <w:rPr>
                      <w:b/>
                      <w:i/>
                      <w:color w:val="333333"/>
                    </w:rPr>
                    <w:t xml:space="preserve">DSS specific information:</w:t>
                  </w:r>
                </w:p>
                <w:p>
                  <w:r>
                    <w:t xml:space="preserve">In the ISPHC NBEDS only aggregated data with CODE 2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1ec1af06774dfe">
                    <w:r>
                      <w:rPr>
                        <w:rStyle w:val="Hyperlink"/>
                      </w:rPr>
                      <w:t xml:space="preserve">Organisation—name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9f86814fe64bbd">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54d2743a7a4c23">
                    <w:r>
                      <w:rPr>
                        <w:rStyle w:val="Hyperlink"/>
                      </w:rPr>
                      <w:t xml:space="preserve">Person—absolute cardiovascular disease risk assessment result categories, code N</w:t>
                    </w:r>
                  </w:hyperlink>
                </w:p>
                <w:p>
                  <w:r>
                    <w:rPr>
                      <w:b/>
                      <w:i/>
                      <w:color w:val="333333"/>
                    </w:rPr>
                    <w:t xml:space="preserve">Conditional obligation:</w:t>
                  </w:r>
                </w:p>
                <w:p>
                  <w:r>
                    <w:t xml:space="preserve">Reporting against this data element is conditional on:</w:t>
                  </w:r>
                </w:p>
                <w:p>
                  <w:pPr>
                    <w:pStyle w:val="ListParagraph"/>
                    <w:numPr>
                      <w:ilvl w:val="0"/>
                      <w:numId w:val="18"/>
                    </w:numPr>
                  </w:pPr>
                  <w:r>
                    <w:t xml:space="preserve">a 'CODE 1 Yes' response to '</w:t>
                  </w:r>
                  <w:hyperlink w:history="true" r:id="R57d536ce22cf4992">
                    <w:r>
                      <w:rPr>
                        <w:rStyle w:val="Hyperlink"/>
                      </w:rPr>
                      <w:t xml:space="preserve">Person—absolute cardiovascular disease risk assessment result recorded indicator, yes/no code N</w:t>
                    </w:r>
                  </w:hyperlink>
                  <w:r>
                    <w:t xml:space="preserve">', and</w:t>
                  </w:r>
                </w:p>
                <w:p>
                  <w:pPr>
                    <w:pStyle w:val="ListParagraph"/>
                    <w:numPr>
                      <w:ilvl w:val="0"/>
                      <w:numId w:val="18"/>
                    </w:numPr>
                  </w:pPr>
                  <w:r>
                    <w:t xml:space="preserve">a person being aged ≥ 35 years and &lt; 75 years at the census date, and</w:t>
                  </w:r>
                </w:p>
                <w:p>
                  <w:pPr>
                    <w:pStyle w:val="ListParagraph"/>
                    <w:numPr>
                      <w:ilvl w:val="0"/>
                      <w:numId w:val="18"/>
                    </w:numPr>
                  </w:pPr>
                  <w:r>
                    <w:t xml:space="preserve">a 'CODE 2 No' response to '</w:t>
                  </w:r>
                  <w:hyperlink w:history="true" r:id="R73aa390c90f9468a">
                    <w:r>
                      <w:rPr>
                        <w:rStyle w:val="Hyperlink"/>
                      </w:rPr>
                      <w:t xml:space="preserve">Person—cardiovascular disease recorded indicator, yes/no code N</w:t>
                    </w:r>
                  </w:hyperlink>
                  <w:r>
                    <w:t xml:space="preserve">'</w:t>
                  </w:r>
                </w:p>
                <w:p>
                  <w:r>
                    <w:t xml:space="preserve">Data are provided to the AIHW for absolute CVD risk assessment results recorded within the previous 24 months up to the census date.</w:t>
                  </w:r>
                </w:p>
                <w:p>
                  <w:r>
                    <w:t xml:space="preserve">Where the tobacco smoking status and/or sex do not have an assessment date assigned, they should be treated as being up to date (that is, as having been updated in the 24 months up to the census date).</w:t>
                  </w:r>
                </w:p>
                <w:p>
                  <w:r>
                    <w:rPr>
                      <w:b/>
                      <w:i/>
                      <w:color w:val="333333"/>
                    </w:rPr>
                    <w:t xml:space="preserve">DSS specific information:</w:t>
                  </w:r>
                </w:p>
                <w:p>
                  <w:r>
                    <w:t xml:space="preserve">Data relating to diabetes status should be taken from the most recent record for the client, regardless of how old that record is.</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9c922562664476">
                    <w:r>
                      <w:rPr>
                        <w:rStyle w:val="Hyperlink"/>
                      </w:rPr>
                      <w:t xml:space="preserve">Person—absolute cardiovascular disease risk assessment result recorded indicator, yes/no code N</w:t>
                    </w:r>
                  </w:hyperlink>
                </w:p>
                <w:p>
                  <w:r>
                    <w:rPr>
                      <w:b/>
                      <w:i/>
                      <w:color w:val="333333"/>
                    </w:rPr>
                    <w:t xml:space="preserve">Conditional obligation:</w:t>
                  </w:r>
                </w:p>
                <w:p>
                  <w:r>
                    <w:t xml:space="preserve">Reporting against this data element is conditional on a person being aged ≥ 34 years and &lt; 75 years at the census date, and on a 'CODE 2 No' response to '</w:t>
                  </w:r>
                  <w:hyperlink w:history="true" r:id="Rfcd39beb9f904a3d">
                    <w:r>
                      <w:rPr>
                        <w:rStyle w:val="Hyperlink"/>
                      </w:rPr>
                      <w:t xml:space="preserve">Person—cardiovascular disease recorded indicator, yes/no code N</w:t>
                    </w:r>
                  </w:hyperlink>
                  <w:r>
                    <w:t xml:space="preserve">'</w:t>
                  </w:r>
                </w:p>
                <w:p>
                  <w:r>
                    <w:t xml:space="preserve">Data are provided to the AIHW for absolute CVD risk assessment results recorded within the previous 24 months up to the census date.</w:t>
                  </w:r>
                </w:p>
                <w:p>
                  <w:r>
                    <w:t xml:space="preserve">Where the tobacco smoking status and/or sex do not have an assessment date assigned, they should be treated as being up to date (that is, as having been updated in the 24 months up to the census date).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750f45bb4c43fe">
                    <w:r>
                      <w:rPr>
                        <w:rStyle w:val="Hyperlink"/>
                      </w:rPr>
                      <w:t xml:space="preserve">Person—age, total months N[N]</w:t>
                    </w:r>
                  </w:hyperlink>
                </w:p>
                <w:p>
                  <w:r>
                    <w:rPr>
                      <w:b/>
                      <w:i/>
                      <w:color w:val="333333"/>
                    </w:rPr>
                    <w:t xml:space="preserve">Conditional obligation:</w:t>
                  </w:r>
                </w:p>
                <w:p>
                  <w:r>
                    <w:t xml:space="preserve">Reporting against this data element is conditional upon a person being aged ≥ 6 months and &lt; 1 year at the census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e73d32f4a941d3">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067c5515804758">
                    <w:r>
                      <w:rPr>
                        <w:rStyle w:val="Hyperlink"/>
                      </w:rPr>
                      <w:t xml:space="preserve">Person—albumin/creatinine ratio (ACR) result, code N</w:t>
                    </w:r>
                  </w:hyperlink>
                </w:p>
                <w:p>
                  <w:r>
                    <w:rPr>
                      <w:b/>
                      <w:i/>
                      <w:color w:val="333333"/>
                    </w:rPr>
                    <w:t xml:space="preserve">Conditional obligation:</w:t>
                  </w:r>
                </w:p>
                <w:p>
                  <w:r>
                    <w:t xml:space="preserve">Reporting against this data element is conditional on a 'CODE 1 Yes' response to '</w:t>
                  </w:r>
                  <w:hyperlink w:history="true" r:id="Rb078bf9f48e04dfc">
                    <w:r>
                      <w:rPr>
                        <w:rStyle w:val="Hyperlink"/>
                      </w:rPr>
                      <w:t xml:space="preserve">Person—microalbumin urine test result recorded indicator, yes/no code N</w:t>
                    </w:r>
                  </w:hyperlink>
                  <w:r>
                    <w:t xml:space="preserve">' and on a person being aged ≥ 15 years at the census date.</w:t>
                  </w:r>
                </w:p>
                <w:p>
                  <w:r>
                    <w:t xml:space="preserve">Data are provided to the AIHW for results recorded within the previous 12 months up to the census date.</w:t>
                  </w:r>
                </w:p>
                <w:p>
                  <w:r>
                    <w:t xml:space="preserve">Data relating to only the most recently recorded result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303bf52335431d">
                    <w:r>
                      <w:rPr>
                        <w:rStyle w:val="Hyperlink"/>
                      </w:rPr>
                      <w:t xml:space="preserve">Person—alcohol consumption status recorded indicator, yes/no code N</w:t>
                    </w:r>
                  </w:hyperlink>
                </w:p>
                <w:p>
                  <w:r>
                    <w:rPr>
                      <w:b/>
                      <w:i/>
                      <w:color w:val="333333"/>
                    </w:rPr>
                    <w:t xml:space="preserve">Conditional obligation:</w:t>
                  </w:r>
                </w:p>
                <w:p>
                  <w:r>
                    <w:t xml:space="preserve">Reporting against this data element is conditional upon a person being aged ≥ 15 years at the census date.</w:t>
                  </w:r>
                </w:p>
                <w:p>
                  <w:r>
                    <w:t xml:space="preserve">Data are provided to the AIHW for alcohol consumption status results recorded within the previous 24 months up to the census date.</w:t>
                  </w:r>
                </w:p>
                <w:p>
                  <w:r>
                    <w:rPr>
                      <w:b/>
                      <w:i/>
                      <w:color w:val="333333"/>
                    </w:rPr>
                    <w:t xml:space="preserve">DSS specific information:</w:t>
                  </w:r>
                </w:p>
                <w:p>
                  <w:r>
                    <w:t xml:space="preserve">In the ISPHC NBEDS alcohol consumption status is considered to have been recorded if the health organisation has either:</w:t>
                  </w:r>
                </w:p>
                <w:p>
                  <w:pPr>
                    <w:pStyle w:val="ListParagraph"/>
                    <w:numPr>
                      <w:ilvl w:val="0"/>
                      <w:numId w:val="19"/>
                    </w:numPr>
                  </w:pPr>
                  <w:r>
                    <w:t xml:space="preserve">a record of whether the client consumes alcohol, or</w:t>
                  </w:r>
                </w:p>
                <w:p>
                  <w:pPr>
                    <w:pStyle w:val="ListParagraph"/>
                    <w:numPr>
                      <w:ilvl w:val="0"/>
                      <w:numId w:val="19"/>
                    </w:numPr>
                  </w:pPr>
                  <w:r>
                    <w:t xml:space="preserve">a record specifying the amount and frequency of the client's alcohol consumption.</w:t>
                  </w:r>
                </w:p>
                <w:p>
                  <w:r>
                    <w:t xml:space="preserve">Where the alcohol consumption status does not have an assessment date assigned, it should be treated as being up to date (that is, as having been updated in the 24 months up to the census date).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8ed2f876274392">
                    <w:r>
                      <w:rPr>
                        <w:rStyle w:val="Hyperlink"/>
                      </w:rPr>
                      <w:t xml:space="preserve">Person—AUDIT-C result recorded indicator, yes/no code N</w:t>
                    </w:r>
                  </w:hyperlink>
                </w:p>
                <w:p>
                  <w:r>
                    <w:rPr>
                      <w:b/>
                      <w:i/>
                      <w:color w:val="333333"/>
                    </w:rPr>
                    <w:t xml:space="preserve">Conditional obligation:</w:t>
                  </w:r>
                </w:p>
                <w:p>
                  <w:r>
                    <w:t xml:space="preserve">Reporting against this data element is conditional upon a person being aged ≥ 15 years at the census date.</w:t>
                  </w:r>
                </w:p>
                <w:p>
                  <w:r>
                    <w:t xml:space="preserve">Data are provided to the AIHW for AUDIT-C results recorded within the previous 24 months up to the census date.</w:t>
                  </w:r>
                </w:p>
                <w:p>
                  <w:r>
                    <w:rPr>
                      <w:b/>
                      <w:i/>
                      <w:color w:val="333333"/>
                    </w:rPr>
                    <w:t xml:space="preserve">DSS specific information:</w:t>
                  </w:r>
                </w:p>
                <w:p>
                  <w:r>
                    <w:t xml:space="preserve">Where the AUDIT-C result does not have an assessment date assigned, it should be treated as being up to date (that is, as having been updated in the 24 months up to the census date).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2701a6332043f9">
                    <w:r>
                      <w:rPr>
                        <w:rStyle w:val="Hyperlink"/>
                      </w:rPr>
                      <w:t xml:space="preserve">Person—AUDIT-C result, code N</w:t>
                    </w:r>
                  </w:hyperlink>
                </w:p>
                <w:p>
                  <w:r>
                    <w:rPr>
                      <w:b/>
                      <w:i/>
                      <w:color w:val="333333"/>
                    </w:rPr>
                    <w:t xml:space="preserve">Conditional obligation:</w:t>
                  </w:r>
                </w:p>
                <w:p>
                  <w:r>
                    <w:t xml:space="preserve">Reporting against this data element is conditional on a 'CODE 1 Yes' response to '</w:t>
                  </w:r>
                  <w:hyperlink w:history="true" r:id="Re7e1a456b00b4c8b">
                    <w:r>
                      <w:rPr>
                        <w:rStyle w:val="Hyperlink"/>
                      </w:rPr>
                      <w:t xml:space="preserve">Person—AUDIT-C result recorded indicator, yes/no code N</w:t>
                    </w:r>
                  </w:hyperlink>
                  <w:r>
                    <w:t xml:space="preserve">', and on a person being aged ≥ 15 years at the census date.</w:t>
                  </w:r>
                </w:p>
                <w:p>
                  <w:r>
                    <w:t xml:space="preserve">Data are provided to the AIHW for AUDIT-C results recorded within the previous 24 months up to the census date.</w:t>
                  </w:r>
                </w:p>
                <w:p>
                  <w:r>
                    <w:rPr>
                      <w:b/>
                      <w:i/>
                      <w:color w:val="333333"/>
                    </w:rPr>
                    <w:t xml:space="preserve">DSS specific information:</w:t>
                  </w:r>
                </w:p>
                <w:p>
                  <w:r>
                    <w:t xml:space="preserve">Where the AUDIT-C result does not have an assessment date assigned, it should be treated as being up to date (that is, as having been updated in the 24 months up to the census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3bae87f5f941bc">
                    <w:r>
                      <w:rPr>
                        <w:rStyle w:val="Hyperlink"/>
                      </w:rPr>
                      <w:t xml:space="preserve">Person—birthweight recorded indicator, yes/no code N</w:t>
                    </w:r>
                  </w:hyperlink>
                </w:p>
                <w:p>
                  <w:r>
                    <w:rPr>
                      <w:b/>
                      <w:i/>
                      <w:color w:val="333333"/>
                    </w:rPr>
                    <w:t xml:space="preserve">Conditional obligation:</w:t>
                  </w:r>
                </w:p>
                <w:p>
                  <w:r>
                    <w:t xml:space="preserve">Data are only provided to the AIHW for babies born during the preceding 12 months up to the census date. In the case of multiple births, data should be recorded for each baby born. </w:t>
                  </w:r>
                </w:p>
                <w:p>
                  <w: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8b5b52f86fa46b6">
                    <w:r>
                      <w:rPr>
                        <w:rStyle w:val="Hyperlink"/>
                        <w:b/>
                      </w:rPr>
                      <w:t xml:space="preserve">live births</w:t>
                    </w:r>
                  </w:hyperlink>
                  <w:r>
                    <w:t xml:space="preserve"> only.</w:t>
                  </w:r>
                </w:p>
                <w:p>
                  <w:r>
                    <w:t xml:space="preserve">Data are not provided to the AIHW for babies without a medical record of their own at the health organisation, even if their information is recorded in their mother's record.</w:t>
                  </w:r>
                </w:p>
                <w:p>
                  <w:r>
                    <w:rPr>
                      <w:b/>
                      <w:i/>
                      <w:color w:val="333333"/>
                    </w:rPr>
                    <w:t xml:space="preserve">DSS specific information:</w:t>
                  </w:r>
                </w:p>
                <w:p>
                  <w: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68d6b578f94140f7">
                    <w:r>
                      <w:rPr>
                        <w:rStyle w:val="Hyperlink"/>
                        <w:b/>
                      </w:rPr>
                      <w:t xml:space="preserve">Indigenous regular client</w:t>
                    </w:r>
                  </w:hyperlink>
                  <w:r>
                    <w:t xml:space="preserve">, as long as they have a file at the health organisation.</w:t>
                  </w:r>
                </w:p>
                <w:p>
                  <w:r>
                    <w:t xml:space="preserve">The birthweight may have been recorded during an appointment or received from sharing client data with other organisations, such as a hospital.</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1bdfd2b92248d9">
                    <w:r>
                      <w:rPr>
                        <w:rStyle w:val="Hyperlink"/>
                      </w:rPr>
                      <w:t xml:space="preserve">Person—blood pressure measurement result less than or equal to 130/80 mmHg indicator, yes/no code N</w:t>
                    </w:r>
                  </w:hyperlink>
                </w:p>
                <w:p>
                  <w:r>
                    <w:rPr>
                      <w:b/>
                      <w:i/>
                      <w:color w:val="333333"/>
                    </w:rPr>
                    <w:t xml:space="preserve">Conditional obligation:</w:t>
                  </w:r>
                </w:p>
                <w:p>
                  <w:r>
                    <w:t xml:space="preserve">Reporting against this data element is conditional on a person having both:</w:t>
                  </w:r>
                </w:p>
                <w:p>
                  <w:pPr>
                    <w:pStyle w:val="ListParagraph"/>
                    <w:numPr>
                      <w:ilvl w:val="0"/>
                      <w:numId w:val="20"/>
                    </w:numPr>
                  </w:pPr>
                  <w:r>
                    <w:t xml:space="preserve">a 'CODE 02 Type 2 diabetes' response to '</w:t>
                  </w:r>
                  <w:hyperlink w:history="true" r:id="Rb92e0f96c9f64018">
                    <w:r>
                      <w:rPr>
                        <w:rStyle w:val="Hyperlink"/>
                      </w:rPr>
                      <w:t xml:space="preserve">Person—diabetes mellitus status, code NN</w:t>
                    </w:r>
                  </w:hyperlink>
                  <w:r>
                    <w:t xml:space="preserve">', and</w:t>
                  </w:r>
                </w:p>
                <w:p>
                  <w:pPr>
                    <w:pStyle w:val="ListParagraph"/>
                    <w:numPr>
                      <w:ilvl w:val="0"/>
                      <w:numId w:val="20"/>
                    </w:numPr>
                  </w:pPr>
                  <w:r>
                    <w:t xml:space="preserve">a blood pressure measurement result recorded within the previous 6 months.</w:t>
                  </w:r>
                </w:p>
                <w:p>
                  <w:r>
                    <w:rPr>
                      <w:b/>
                      <w:i/>
                      <w:color w:val="333333"/>
                    </w:rPr>
                    <w:t xml:space="preserve">DSS specific information:</w:t>
                  </w:r>
                </w:p>
                <w:p>
                  <w:r>
                    <w:t xml:space="preserve">In the ISPHC NBEDS:</w:t>
                  </w:r>
                </w:p>
                <w:p>
                  <w:pPr>
                    <w:pStyle w:val="ListParagraph"/>
                    <w:numPr>
                      <w:ilvl w:val="0"/>
                      <w:numId w:val="21"/>
                    </w:numPr>
                  </w:pPr>
                  <w:r>
                    <w:t xml:space="preserve">'type 2 diabetes' specifically excludes type 1 diabetes, secondary diabetes, gestational diabetes mellitus (GDM), previous GDM, impaired fasting glucose, and impaired glucose tolerance.</w:t>
                  </w:r>
                </w:p>
                <w:p>
                  <w:pPr>
                    <w:pStyle w:val="ListParagraph"/>
                    <w:numPr>
                      <w:ilvl w:val="0"/>
                      <w:numId w:val="21"/>
                    </w:numPr>
                  </w:pPr>
                  <w:r>
                    <w:t xml:space="preserve">a client does not have a blood pressure measurement of ≤ 130/80 mmHg if either the systolic or diastolic reading is above the threshold (130 and 80 respectively).</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b86b53f4b646b8">
                    <w:r>
                      <w:rPr>
                        <w:rStyle w:val="Hyperlink"/>
                      </w:rPr>
                      <w:t xml:space="preserve">Person—blood pressure measurement result recorded indicator, yes/no code N</w:t>
                    </w:r>
                  </w:hyperlink>
                </w:p>
                <w:p>
                  <w:r>
                    <w:rPr>
                      <w:b/>
                      <w:i/>
                      <w:color w:val="333333"/>
                    </w:rPr>
                    <w:t xml:space="preserve">Conditional obligation:</w:t>
                  </w:r>
                </w:p>
                <w:p>
                  <w:r>
                    <w:t xml:space="preserve">Reporting against this data element is conditional on a person having both:</w:t>
                  </w:r>
                </w:p>
                <w:p>
                  <w:pPr>
                    <w:pStyle w:val="ListParagraph"/>
                    <w:numPr>
                      <w:ilvl w:val="0"/>
                      <w:numId w:val="22"/>
                    </w:numPr>
                  </w:pPr>
                  <w:r>
                    <w:t xml:space="preserve">a 'CODE 02 Type 2 diabetes' response to '</w:t>
                  </w:r>
                  <w:hyperlink w:history="true" r:id="R0fe3483574c645c7">
                    <w:r>
                      <w:rPr>
                        <w:rStyle w:val="Hyperlink"/>
                      </w:rPr>
                      <w:t xml:space="preserve">Person—diabetes mellitus status, code NN</w:t>
                    </w:r>
                  </w:hyperlink>
                  <w:r>
                    <w:t xml:space="preserve">', and</w:t>
                  </w:r>
                </w:p>
                <w:p>
                  <w:pPr>
                    <w:pStyle w:val="ListParagraph"/>
                    <w:numPr>
                      <w:ilvl w:val="0"/>
                      <w:numId w:val="22"/>
                    </w:numPr>
                  </w:pPr>
                  <w:r>
                    <w:t xml:space="preserve">a blood pressure measurement result recorded within the previous 6 months.</w:t>
                  </w:r>
                </w:p>
                <w:p>
                  <w:r>
                    <w:rPr>
                      <w:b/>
                      <w:i/>
                      <w:color w:val="333333"/>
                    </w:rPr>
                    <w:t xml:space="preserve">DSS specific information:</w:t>
                  </w:r>
                </w:p>
                <w:p>
                  <w:r>
                    <w:t xml:space="preserve">In the ISPHC NBEDS 'type 2 diabetes' specifically excludes type 1 diabetes, secondary diabetes, gestational diabetes mellitus (GDM), previous GDM, impaired fasting glucose, and impaired glucose tolerance.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48b7516f724644">
                    <w:r>
                      <w:rPr>
                        <w:rStyle w:val="Hyperlink"/>
                      </w:rPr>
                      <w:t xml:space="preserve">Person—body mass index (classification), code N[.N]</w:t>
                    </w:r>
                  </w:hyperlink>
                </w:p>
                <w:p>
                  <w:r>
                    <w:rPr>
                      <w:b/>
                      <w:i/>
                      <w:color w:val="333333"/>
                    </w:rPr>
                    <w:t xml:space="preserve">Conditional obligation:</w:t>
                  </w:r>
                </w:p>
                <w:p>
                  <w:r>
                    <w:t xml:space="preserve">Reporting against this data element is conditional on a person being aged ≥ 25 years at the census date and having recorded a 'CODE 1 Yes' response to '</w:t>
                  </w:r>
                  <w:hyperlink w:history="true" r:id="R807ae7d725b24a2a">
                    <w:r>
                      <w:rPr>
                        <w:rStyle w:val="Hyperlink"/>
                      </w:rPr>
                      <w:t xml:space="preserve">Person—body mass index recorded indicator, yes/no code N</w:t>
                    </w:r>
                  </w:hyperlink>
                  <w:r>
                    <w:t xml:space="preserve">'.</w:t>
                  </w:r>
                </w:p>
                <w:p>
                  <w:r>
                    <w:t xml:space="preserve">Data relating to only the most recently recorded result are provided to the AIHW.</w:t>
                  </w:r>
                </w:p>
                <w:p>
                  <w:r>
                    <w:rPr>
                      <w:b/>
                      <w:i/>
                      <w:color w:val="333333"/>
                    </w:rPr>
                    <w:t xml:space="preserve">DSS specific information:</w:t>
                  </w:r>
                </w:p>
                <w:p>
                  <w:r>
                    <w:t xml:space="preserve">In the ISPHC NBEDS only aggregated data with CODE 2.2 or 3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b057a5f2e64378">
                    <w:r>
                      <w:rPr>
                        <w:rStyle w:val="Hyperlink"/>
                      </w:rPr>
                      <w:t xml:space="preserve">Person—body mass index recorded indicator, yes/no code N</w:t>
                    </w:r>
                  </w:hyperlink>
                </w:p>
                <w:p>
                  <w:r>
                    <w:rPr>
                      <w:b/>
                      <w:i/>
                      <w:color w:val="333333"/>
                    </w:rPr>
                    <w:t xml:space="preserve">Conditional obligation:</w:t>
                  </w:r>
                </w:p>
                <w:p>
                  <w:r>
                    <w:t xml:space="preserve">Reporting against this data element is conditional on a person being aged ≥ 25 years at the census date.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0d767f18cf495a">
                    <w:r>
                      <w:rPr>
                        <w:rStyle w:val="Hyperlink"/>
                      </w:rPr>
                      <w:t xml:space="preserve">Person—cardiovascular disease recorded indicator, yes/no code N</w:t>
                    </w:r>
                  </w:hyperlink>
                </w:p>
                <w:p>
                  <w:r>
                    <w:rPr>
                      <w:b/>
                      <w:i/>
                      <w:color w:val="333333"/>
                    </w:rPr>
                    <w:t xml:space="preserve">DSS specific information:</w:t>
                  </w:r>
                </w:p>
                <w:p>
                  <w:r>
                    <w:t xml:space="preserve">In the ISPHC NBEDS a person has a cardiovascular disease recorded if, on their clinical record, the health organisation has recorded a condition or condition code that is considered to be a type of cardiovascular disease.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4f46884af14572">
                    <w:r>
                      <w:rPr>
                        <w:rStyle w:val="Hyperlink"/>
                      </w:rPr>
                      <w:t xml:space="preserve">Person—chronic disease management plan type, code N</w:t>
                    </w:r>
                  </w:hyperlink>
                </w:p>
                <w:p>
                  <w:r>
                    <w:rPr>
                      <w:b/>
                      <w:i/>
                      <w:color w:val="333333"/>
                    </w:rPr>
                    <w:t xml:space="preserve">Conditional obligation:</w:t>
                  </w:r>
                </w:p>
                <w:p>
                  <w:r>
                    <w:t xml:space="preserve">Reporting against this data element is conditional on a person having both:</w:t>
                  </w:r>
                </w:p>
                <w:p>
                  <w:pPr>
                    <w:pStyle w:val="ListParagraph"/>
                    <w:numPr>
                      <w:ilvl w:val="0"/>
                      <w:numId w:val="23"/>
                    </w:numPr>
                  </w:pPr>
                  <w:r>
                    <w:t xml:space="preserve">a 'CODE 02 Type 2 diabetes' response to '</w:t>
                  </w:r>
                  <w:hyperlink w:history="true" r:id="Re947892908e5499d">
                    <w:r>
                      <w:rPr>
                        <w:rStyle w:val="Hyperlink"/>
                      </w:rPr>
                      <w:t xml:space="preserve">Person—diabetes mellitus status, code NN</w:t>
                    </w:r>
                  </w:hyperlink>
                  <w:r>
                    <w:t xml:space="preserve">', and</w:t>
                  </w:r>
                </w:p>
                <w:p>
                  <w:pPr>
                    <w:pStyle w:val="ListParagraph"/>
                    <w:numPr>
                      <w:ilvl w:val="0"/>
                      <w:numId w:val="23"/>
                    </w:numPr>
                  </w:pPr>
                  <w:r>
                    <w:t xml:space="preserve">a 'CODE 1 Yes' response to '</w:t>
                  </w:r>
                  <w:hyperlink w:history="true" r:id="Rfdae23c147374d21">
                    <w:r>
                      <w:rPr>
                        <w:rStyle w:val="Hyperlink"/>
                      </w:rPr>
                      <w:t xml:space="preserve">Person—chronic disease management plan indicator, yes/no code N</w:t>
                    </w:r>
                  </w:hyperlink>
                  <w:r>
                    <w:t xml:space="preserve">'</w:t>
                  </w:r>
                </w:p>
                <w:p>
                  <w:r>
                    <w:rPr>
                      <w:b/>
                      <w:i/>
                      <w:color w:val="333333"/>
                    </w:rPr>
                    <w:t xml:space="preserve">DSS specific information:</w:t>
                  </w:r>
                </w:p>
                <w:p>
                  <w:r>
                    <w:t xml:space="preserve">In the ISPHC NBEDS 'type 2 diabetes' specifically excludes type 1 diabetes, secondary diabetes, gestational diabetes mellitus (GDM), previous GDM, impaired fasting glucose, and impaired glucose tolerance.</w:t>
                  </w:r>
                </w:p>
                <w:p>
                  <w:r>
                    <w:t xml:space="preserve">Consider only the most recent plan.</w:t>
                  </w:r>
                </w:p>
                <w:p>
                  <w:r>
                    <w:t xml:space="preserve">Data are provided to the AIHW for MBS-rebated chronic disease management plans prepared in-person and via telehealth.  </w:t>
                  </w:r>
                </w:p>
                <w:p>
                  <w:r>
                    <w:t xml:space="preserve">In the ISPHC NBEDS only aggregated data with CODE 1 or 2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4cc76927574c4b">
                    <w:r>
                      <w:rPr>
                        <w:rStyle w:val="Hyperlink"/>
                      </w:rPr>
                      <w:t xml:space="preserve">Person—chronic obstructive pulmonary disease recorded indicator, yes/no code N</w:t>
                    </w:r>
                  </w:hyperlink>
                </w:p>
                <w:p>
                  <w:r>
                    <w:rPr>
                      <w:b/>
                      <w:i/>
                      <w:color w:val="333333"/>
                    </w:rPr>
                    <w:t xml:space="preserve">DSS specific information:</w:t>
                  </w:r>
                </w:p>
                <w:p>
                  <w:r>
                    <w:t xml:space="preserve">In the ISPHC NBEDS a person has a chronic obstructive pulmonary disease recorded if, on their clinical record, the health organisation has recorded a condition or condition code that is considered to be a type of chronic obstructive pulmonary disease.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da7b5491b64054">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63441ca4ab4311">
                    <w:r>
                      <w:rPr>
                        <w:rStyle w:val="Hyperlink"/>
                      </w:rPr>
                      <w:t xml:space="preserve">Person—estimated glomerular filtration rate (eGFR) recorded indicator, yes/no code N</w:t>
                    </w:r>
                  </w:hyperlink>
                </w:p>
                <w:p>
                  <w:r>
                    <w:rPr>
                      <w:b/>
                      <w:i/>
                      <w:color w:val="333333"/>
                    </w:rPr>
                    <w:t xml:space="preserve">Conditional obligation:</w:t>
                  </w:r>
                </w:p>
                <w:p>
                  <w:r>
                    <w:t xml:space="preserve">Reporting against this data element is conditional upon a person being aged ≥ 15 years at the census date.</w:t>
                  </w:r>
                </w:p>
                <w:p>
                  <w:r>
                    <w:t xml:space="preserve">Data are provided to the AIHW for results recorded within the previous 12 months up to the census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ee816b89f743f7">
                    <w:r>
                      <w:rPr>
                        <w:rStyle w:val="Hyperlink"/>
                      </w:rPr>
                      <w:t xml:space="preserve">Person—estimated glomerular filtration rate (eGFR) result, code N[A]</w:t>
                    </w:r>
                  </w:hyperlink>
                </w:p>
                <w:p>
                  <w:r>
                    <w:rPr>
                      <w:b/>
                      <w:i/>
                      <w:color w:val="333333"/>
                    </w:rPr>
                    <w:t xml:space="preserve">Conditional obligation:</w:t>
                  </w:r>
                </w:p>
                <w:p>
                  <w:r>
                    <w:t xml:space="preserve">Reporting against this data element is conditional on a 'CODE 1 Yes' response to '</w:t>
                  </w:r>
                  <w:hyperlink w:history="true" r:id="R9eeec8299c254534">
                    <w:r>
                      <w:rPr>
                        <w:rStyle w:val="Hyperlink"/>
                      </w:rPr>
                      <w:t xml:space="preserve">Person—estimated glomerular filtration rate (eGFR) recorded indicator, yes/no code N</w:t>
                    </w:r>
                  </w:hyperlink>
                  <w:r>
                    <w:t xml:space="preserve">', and on a person being aged ≥ 15 years at the census date.</w:t>
                  </w:r>
                </w:p>
                <w:p>
                  <w:r>
                    <w:t xml:space="preserve">Data are provided to the AIHW for results recorded within the previous 12 months up to the census date.</w:t>
                  </w:r>
                </w:p>
                <w:p>
                  <w:r>
                    <w:t xml:space="preserve">Data relating to only the most recently recorded result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daaef4d2e94dd6">
                    <w:r>
                      <w:rPr>
                        <w:rStyle w:val="Hyperlink"/>
                      </w:rPr>
                      <w:t xml:space="preserve">Person—glycosylated haemoglobin level, code N</w:t>
                    </w:r>
                  </w:hyperlink>
                </w:p>
                <w:p>
                  <w:r>
                    <w:rPr>
                      <w:b/>
                      <w:i/>
                      <w:color w:val="333333"/>
                    </w:rPr>
                    <w:t xml:space="preserve">Conditional obligation:</w:t>
                  </w:r>
                </w:p>
                <w:p>
                  <w:r>
                    <w:t xml:space="preserve">Reporting against this data element is conditional on a person having both:</w:t>
                  </w:r>
                </w:p>
                <w:p>
                  <w:pPr>
                    <w:pStyle w:val="ListParagraph"/>
                    <w:numPr>
                      <w:ilvl w:val="0"/>
                      <w:numId w:val="24"/>
                    </w:numPr>
                  </w:pPr>
                  <w:r>
                    <w:t xml:space="preserve">a 'CODE 02 Type 2 diabetes' response to '</w:t>
                  </w:r>
                  <w:hyperlink w:history="true" r:id="R649698472c104621">
                    <w:r>
                      <w:rPr>
                        <w:rStyle w:val="Hyperlink"/>
                      </w:rPr>
                      <w:t xml:space="preserve">Person—diabetes mellitus status, code NN</w:t>
                    </w:r>
                  </w:hyperlink>
                  <w:r>
                    <w:t xml:space="preserve">', and</w:t>
                  </w:r>
                </w:p>
                <w:p>
                  <w:pPr>
                    <w:pStyle w:val="ListParagraph"/>
                    <w:numPr>
                      <w:ilvl w:val="0"/>
                      <w:numId w:val="24"/>
                    </w:numPr>
                  </w:pPr>
                  <w:r>
                    <w:t xml:space="preserve">a 'CODE 1 Yes' response to </w:t>
                  </w:r>
                  <w:hyperlink w:history="true" r:id="R0d1a72fc2d524965">
                    <w:r>
                      <w:rPr>
                        <w:rStyle w:val="Hyperlink"/>
                      </w:rPr>
                      <w:t xml:space="preserve">Person—glycosylated haemoglobin measurement result recorded indicator, yes/no code N</w:t>
                    </w:r>
                  </w:hyperlink>
                  <w:r>
                    <w:t xml:space="preserve">, where the result was recorded within the previous 6 months or within the previous 12 months, up to the census date.</w:t>
                  </w:r>
                </w:p>
                <w:p>
                  <w:r>
                    <w:rPr>
                      <w:b/>
                      <w:i/>
                      <w:color w:val="333333"/>
                    </w:rPr>
                    <w:t xml:space="preserve">DSS specific information:</w:t>
                  </w:r>
                </w:p>
                <w:p>
                  <w:r>
                    <w:t xml:space="preserve">In the ISPHC NBEDS 'type 2 diabetes' specifically excludes type 1 diabetes, secondary diabetes, gestational diabetes mellitus (GDM), previous GDM, impaired fasting glucose, and impaired glucose tolerance.</w:t>
                  </w:r>
                </w:p>
                <w:p>
                  <w:r>
                    <w:t xml:space="preserve">Data are provided to the AIHW twice, for glycosylated haemoglobin (HbA1c) measurement results recorded within the previous 6 months and within the previous 12 months (up to the census date.)</w:t>
                  </w:r>
                </w:p>
                <w:p>
                  <w:r>
                    <w:t xml:space="preserve">Data relating to only the most recently recorded result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8d0d1df8e64b30">
                    <w:r>
                      <w:rPr>
                        <w:rStyle w:val="Hyperlink"/>
                      </w:rPr>
                      <w:t xml:space="preserve">Person—glycosylated haemoglobin measurement result recorded indicator, yes/no code N</w:t>
                    </w:r>
                  </w:hyperlink>
                </w:p>
                <w:p>
                  <w:r>
                    <w:rPr>
                      <w:b/>
                      <w:i/>
                      <w:color w:val="333333"/>
                    </w:rPr>
                    <w:t xml:space="preserve">Conditional obligation:</w:t>
                  </w:r>
                </w:p>
                <w:p>
                  <w:r>
                    <w:t xml:space="preserve">Reporting against this data element is conditional on a person having a 'CODE 02 Type 2 diabetes' response to '</w:t>
                  </w:r>
                  <w:hyperlink w:history="true" r:id="R8dce0f9cf668412d">
                    <w:r>
                      <w:rPr>
                        <w:rStyle w:val="Hyperlink"/>
                      </w:rPr>
                      <w:t xml:space="preserve">Person—diabetes mellitus status, code NN</w:t>
                    </w:r>
                  </w:hyperlink>
                  <w:r>
                    <w:t xml:space="preserve">'.</w:t>
                  </w:r>
                </w:p>
                <w:p>
                  <w:r>
                    <w:rPr>
                      <w:b/>
                      <w:i/>
                      <w:color w:val="333333"/>
                    </w:rPr>
                    <w:t xml:space="preserve">DSS specific information:</w:t>
                  </w:r>
                </w:p>
                <w:p>
                  <w:r>
                    <w:t xml:space="preserve">In the ISPHC NBEDS 'type 2 diabetes' specifically excludes type 1 diabetes, secondary diabetes, gestational diabetes mellitus (GDM), previous GDM, impaired fasting glucose, and impaired glucose tolerance.</w:t>
                  </w:r>
                </w:p>
                <w:p>
                  <w:r>
                    <w:t xml:space="preserve">Data are provided to the AIHW twice, for glycosylated haemoglobin (HbA1c) measurement results recorded within the previous 6 months and within the previous 12 months (up to the census date.)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c9bf5c5f4444db">
                    <w:r>
                      <w:rPr>
                        <w:rStyle w:val="Hyperlink"/>
                      </w:rPr>
                      <w:t xml:space="preserve">Person—HDL cholesterol measurement result recorded indicator, yes/no code N</w:t>
                    </w:r>
                  </w:hyperlink>
                </w:p>
                <w:p>
                  <w:r>
                    <w:rPr>
                      <w:b/>
                      <w:i/>
                      <w:color w:val="333333"/>
                    </w:rPr>
                    <w:t xml:space="preserve">Conditional obligation:</w:t>
                  </w:r>
                </w:p>
                <w:p>
                  <w:r>
                    <w:t xml:space="preserve">Reporting against this data element is conditional on a person having a 'CODE 2 No' response to '</w:t>
                  </w:r>
                  <w:hyperlink w:history="true" r:id="R8909b3cb6b3744a0">
                    <w:r>
                      <w:rPr>
                        <w:rStyle w:val="Hyperlink"/>
                      </w:rPr>
                      <w:t xml:space="preserve">Person—cardiovascular disease recorded indicator, yes/no code N</w:t>
                    </w:r>
                  </w:hyperlink>
                  <w:r>
                    <w:t xml:space="preserv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60d46b055746b3">
                    <w:r>
                      <w:rPr>
                        <w:rStyle w:val="Hyperlink"/>
                      </w:rPr>
                      <w:t xml:space="preserve">Person—Indigenous health assessment type, code N</w:t>
                    </w:r>
                  </w:hyperlink>
                </w:p>
                <w:p>
                  <w:r>
                    <w:rPr>
                      <w:b/>
                      <w:i/>
                      <w:color w:val="333333"/>
                    </w:rPr>
                    <w:t xml:space="preserve">Conditional obligation:</w:t>
                  </w:r>
                </w:p>
                <w:p>
                  <w:r>
                    <w:t xml:space="preserve">Reporting against this data element is conditional on a 'CODE 1 Yes' response to </w:t>
                  </w:r>
                  <w:hyperlink w:history="true" r:id="Rff04dc868ad24391">
                    <w:r>
                      <w:rPr>
                        <w:rStyle w:val="Hyperlink"/>
                      </w:rPr>
                      <w:t xml:space="preserve">Person—Indigenous health assessment completed indicator, yes/no code N</w:t>
                    </w:r>
                  </w:hyperlink>
                  <w:r>
                    <w:t xml:space="preserve">.</w:t>
                  </w:r>
                </w:p>
                <w:p>
                  <w:r>
                    <w:rPr>
                      <w:b/>
                      <w:i/>
                      <w:color w:val="333333"/>
                    </w:rPr>
                    <w:t xml:space="preserve">DSS specific information:</w:t>
                  </w:r>
                </w:p>
                <w:p>
                  <w:r>
                    <w:t xml:space="preserve">In the ISPHC NBEDS, this data element is provided to the AIHW twice:</w:t>
                  </w:r>
                </w:p>
                <w:p>
                  <w:pPr>
                    <w:pStyle w:val="ListParagraph"/>
                    <w:numPr>
                      <w:ilvl w:val="0"/>
                      <w:numId w:val="25"/>
                    </w:numPr>
                  </w:pPr>
                  <w:r>
                    <w:t xml:space="preserve">for persons aged 0-14 years at the census date who have received an Indigenous health assessment in the 12 months up to the census date, and</w:t>
                  </w:r>
                </w:p>
                <w:p>
                  <w:pPr>
                    <w:pStyle w:val="ListParagraph"/>
                    <w:numPr>
                      <w:ilvl w:val="0"/>
                      <w:numId w:val="25"/>
                    </w:numPr>
                  </w:pPr>
                  <w:r>
                    <w:t xml:space="preserve">for persons aged ≥ 15 years at the census date who have received an Indigenous health assessment in the 24 months up to the census date.</w:t>
                  </w:r>
                </w:p>
                <w:p>
                  <w:r>
                    <w:t xml:space="preserve">Record only the most recent assessment.</w:t>
                  </w:r>
                </w:p>
                <w:p>
                  <w:r>
                    <w:t xml:space="preserve">In the ISPHC NBEDS only aggregated data with CODE 1 or CODE 2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10ef91bbf9401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1f6bb624744e3c">
                    <w:r>
                      <w:rPr>
                        <w:rStyle w:val="Hyperlink"/>
                      </w:rPr>
                      <w:t xml:space="preserve">Person—influenza immunisation indicator, yes/no code N</w:t>
                    </w:r>
                  </w:hyperlink>
                </w:p>
                <w:p>
                  <w:r>
                    <w:rPr>
                      <w:b/>
                      <w:i/>
                      <w:color w:val="333333"/>
                    </w:rPr>
                    <w:t xml:space="preserve">Conditional obligation:</w:t>
                  </w:r>
                </w:p>
                <w:p>
                  <w:r>
                    <w:t xml:space="preserve">Reporting against this data element is conditional upon a person being:</w:t>
                  </w:r>
                </w:p>
                <w:p>
                  <w:pPr>
                    <w:pStyle w:val="ListParagraph"/>
                    <w:numPr>
                      <w:ilvl w:val="0"/>
                      <w:numId w:val="26"/>
                    </w:numPr>
                  </w:pPr>
                  <w:r>
                    <w:t xml:space="preserve">aged ≥ 6 months at the census date OR </w:t>
                  </w:r>
                </w:p>
                <w:p>
                  <w:pPr>
                    <w:pStyle w:val="ListParagraph"/>
                    <w:numPr>
                      <w:ilvl w:val="0"/>
                      <w:numId w:val="26"/>
                    </w:numPr>
                  </w:pPr>
                  <w:r>
                    <w:t xml:space="preserve">aged 15–49 at the census data and having 'CODE 02 Type 2 diabetes' response to 'Person—diabetes mellitus status, code NN' OR</w:t>
                  </w:r>
                </w:p>
                <w:p>
                  <w:pPr>
                    <w:pStyle w:val="ListParagraph"/>
                    <w:numPr>
                      <w:ilvl w:val="0"/>
                      <w:numId w:val="26"/>
                    </w:numPr>
                  </w:pPr>
                  <w:r>
                    <w:t xml:space="preserve">aged 15–49 at the census data and having 'CODE 1 Yes' response to 'Person—chronic obstructive pulmonary disease recorded indicator, yes/no code N'</w:t>
                  </w:r>
                </w:p>
                <w:p>
                  <w:r>
                    <w:rPr>
                      <w:b/>
                      <w:i/>
                      <w:color w:val="333333"/>
                    </w:rPr>
                    <w:t xml:space="preserve">DSS specific information:</w:t>
                  </w:r>
                </w:p>
                <w:p>
                  <w:r>
                    <w:t xml:space="preserve">Data are provided to the AIHW 3 times:</w:t>
                  </w:r>
                </w:p>
                <w:p>
                  <w:pPr>
                    <w:pStyle w:val="ListParagraph"/>
                    <w:numPr>
                      <w:ilvl w:val="0"/>
                      <w:numId w:val="27"/>
                    </w:numPr>
                  </w:pPr>
                  <w:r>
                    <w:t xml:space="preserve">relating to Indigenous regular clients aged 6 months and over</w:t>
                  </w:r>
                </w:p>
                <w:p>
                  <w:pPr>
                    <w:pStyle w:val="ListParagraph"/>
                    <w:numPr>
                      <w:ilvl w:val="0"/>
                      <w:numId w:val="27"/>
                    </w:numPr>
                  </w:pPr>
                  <w:r>
                    <w:t xml:space="preserve">relating to Indigenous regular clients aged 15–49 with type 2 diabetes</w:t>
                  </w:r>
                </w:p>
                <w:p>
                  <w:pPr>
                    <w:pStyle w:val="ListParagraph"/>
                    <w:numPr>
                      <w:ilvl w:val="0"/>
                      <w:numId w:val="27"/>
                    </w:numPr>
                  </w:pPr>
                  <w:r>
                    <w:t xml:space="preserve">relating to Indigenous regular clients aged 15–49 with COPD.</w:t>
                  </w:r>
                </w:p>
                <w:p>
                  <w:r>
                    <w:t xml:space="preserve">In the ISPHC NBEDS, an Indigenous person is recorded as immunised against influenza if they have received an influenza vaccine in the previous 12 months up to the census date.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746ccaead04c73">
                    <w:r>
                      <w:rPr>
                        <w:rStyle w:val="Hyperlink"/>
                      </w:rPr>
                      <w:t xml:space="preserve">Person—microalbumin urine test result recorded indicator, yes/no code N</w:t>
                    </w:r>
                  </w:hyperlink>
                </w:p>
                <w:p>
                  <w:r>
                    <w:rPr>
                      <w:b/>
                      <w:i/>
                      <w:color w:val="333333"/>
                    </w:rPr>
                    <w:t xml:space="preserve">Conditional obligation:</w:t>
                  </w:r>
                </w:p>
                <w:p>
                  <w:r>
                    <w:t xml:space="preserve">Reporting against this data element is conditional on a person having a 'CODE 02 Type 2 diabetes' response to '</w:t>
                  </w:r>
                  <w:hyperlink w:history="true" r:id="Rcae4782b0d2c4d0f">
                    <w:r>
                      <w:rPr>
                        <w:rStyle w:val="Hyperlink"/>
                      </w:rPr>
                      <w:t xml:space="preserve">Person—diabetes mellitus status, code NN</w:t>
                    </w:r>
                  </w:hyperlink>
                  <w:r>
                    <w:t xml:space="preserve">', and being aged ≥ 15 years at the census date.</w:t>
                  </w:r>
                </w:p>
                <w:p>
                  <w:r>
                    <w:t xml:space="preserve">Data are provided to the AIHW for results recorded within the previous 12 months up to the census date.</w:t>
                  </w:r>
                </w:p>
                <w:p>
                  <w:r>
                    <w:rPr>
                      <w:b/>
                      <w:i/>
                      <w:color w:val="333333"/>
                    </w:rPr>
                    <w:t xml:space="preserve">DSS specific information:</w:t>
                  </w:r>
                </w:p>
                <w:p>
                  <w:r>
                    <w:t xml:space="preserve">In the ISPHC NBEDS 'type 2 diabetes' specifically excludes type 1 diabetes, secondary diabetes, gestational diabetes mellitus (GDM), previous GDM, impaired fasting glucose, and impaired glucose tolerance.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fa9821da0d45ab">
                    <w:r>
                      <w:rPr>
                        <w:rStyle w:val="Hyperlink"/>
                      </w:rPr>
                      <w:t xml:space="preserve">Person—regular client indicator, yes/no code N</w:t>
                    </w:r>
                  </w:hyperlink>
                </w:p>
                <w:p>
                  <w:r>
                    <w:rPr>
                      <w:b/>
                      <w:i/>
                      <w:color w:val="333333"/>
                    </w:rPr>
                    <w:t xml:space="preserve">DSS specific information:</w:t>
                  </w:r>
                </w:p>
                <w:p>
                  <w:r>
                    <w:t xml:space="preserve">In the ISPHC NBEDS, a regular client is someone who has 'an active medical record'. According to the Royal Australian College of General Practitioners (RACGP), an active medical record 'is a record of a patient who has attended the practice 3 or more times in the last two years'. </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2cbf795dfa48ca">
                    <w:r>
                      <w:rPr>
                        <w:rStyle w:val="Hyperlink"/>
                      </w:rPr>
                      <w:t xml:space="preserve">Person—sex, code X</w:t>
                    </w:r>
                  </w:hyperlink>
                </w:p>
                <w:p>
                  <w:r>
                    <w:rPr>
                      <w:b/>
                      <w:i/>
                      <w:color w:val="333333"/>
                    </w:rPr>
                    <w:t xml:space="preserve">DSS specific information:</w:t>
                  </w:r>
                </w:p>
                <w:p>
                  <w:r>
                    <w:t xml:space="preserve">In the ISPHC NBEDS, this data element is provided to the AIHW twice:</w:t>
                  </w:r>
                </w:p>
                <w:p>
                  <w:pPr>
                    <w:pStyle w:val="ListParagraph"/>
                    <w:numPr>
                      <w:ilvl w:val="0"/>
                      <w:numId w:val="28"/>
                    </w:numPr>
                  </w:pPr>
                  <w:r>
                    <w:t xml:space="preserve">for CODE 1 or CODE 2</w:t>
                  </w:r>
                </w:p>
                <w:p>
                  <w:pPr>
                    <w:pStyle w:val="ListParagraph"/>
                    <w:numPr>
                      <w:ilvl w:val="0"/>
                      <w:numId w:val="28"/>
                    </w:numPr>
                  </w:pPr>
                  <w:r>
                    <w:t xml:space="preserve">for CODE 9.</w:t>
                  </w:r>
                </w:p>
                <w:p>
                  <w:r>
                    <w:t xml:space="preserve">In the ISPHC NBEDS only aggregated data are provided to the AIHW.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dcf66ac87746aa">
                    <w:r>
                      <w:rPr>
                        <w:rStyle w:val="Hyperlink"/>
                      </w:rPr>
                      <w:t xml:space="preserve">Person—smoking status recorded indicator, yes/no code N</w:t>
                    </w:r>
                  </w:hyperlink>
                </w:p>
                <w:p>
                  <w:r>
                    <w:rPr>
                      <w:b/>
                      <w:i/>
                      <w:color w:val="333333"/>
                    </w:rPr>
                    <w:t xml:space="preserve">Conditional obligation:</w:t>
                  </w:r>
                </w:p>
                <w:p>
                  <w:r>
                    <w:t xml:space="preserve">Reporting against this data element is conditional upon a person being aged ≥ 15 years at the census date.</w:t>
                  </w:r>
                </w:p>
                <w:p>
                  <w:r>
                    <w:rPr>
                      <w:b/>
                      <w:i/>
                      <w:color w:val="333333"/>
                    </w:rPr>
                    <w:t xml:space="preserve">DSS specific information:</w:t>
                  </w:r>
                </w:p>
                <w:p>
                  <w:r>
                    <w:t xml:space="preserve">Data are provided to the AIHW twice, for smoking status results recorded within the previous 12 months and within the previous 24 months (up to the census date.)</w:t>
                  </w:r>
                </w:p>
                <w:p>
                  <w:r>
                    <w:t xml:space="preserve">Where the smoking status does not have an assessment date assigned, it should be treated as being up to date (that is, as having been updated in the 12 or 24 months up to the census date).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aaecbc12b94735">
                    <w:r>
                      <w:rPr>
                        <w:rStyle w:val="Hyperlink"/>
                      </w:rPr>
                      <w:t xml:space="preserve">Person—systolic blood pressure measurement result recorded indicator, yes/no code N</w:t>
                    </w:r>
                  </w:hyperlink>
                </w:p>
                <w:p>
                  <w:r>
                    <w:rPr>
                      <w:b/>
                      <w:i/>
                      <w:color w:val="333333"/>
                    </w:rPr>
                    <w:t xml:space="preserve">Conditional obligation:</w:t>
                  </w:r>
                </w:p>
                <w:p>
                  <w:r>
                    <w:t xml:space="preserve">Reporting against this data element is conditional on a person having a 'CODE 2 No' response to '</w:t>
                  </w:r>
                  <w:hyperlink w:history="true" r:id="R92a18f83a27f4356">
                    <w:r>
                      <w:rPr>
                        <w:rStyle w:val="Hyperlink"/>
                      </w:rPr>
                      <w:t xml:space="preserve">Person—cardiovascular disease recorded indicator, yes/no code N</w:t>
                    </w:r>
                  </w:hyperlink>
                  <w:r>
                    <w:t xml:space="preserv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e1d22f6bc5412b">
                    <w:r>
                      <w:rPr>
                        <w:rStyle w:val="Hyperlink"/>
                      </w:rPr>
                      <w:t xml:space="preserve">Person—tobacco smoking status, code N</w:t>
                    </w:r>
                  </w:hyperlink>
                </w:p>
                <w:p>
                  <w:r>
                    <w:rPr>
                      <w:b/>
                      <w:i/>
                      <w:color w:val="333333"/>
                    </w:rPr>
                    <w:t xml:space="preserve">Conditional obligation:</w:t>
                  </w:r>
                </w:p>
                <w:p>
                  <w:r>
                    <w:t xml:space="preserve">Reporting against this data element is conditional on a person being aged ≥ 15 years at the census date, and having a 'CODE 1 Yes' response to '</w:t>
                  </w:r>
                  <w:hyperlink w:history="true" r:id="R76145b3fa02b42e7">
                    <w:r>
                      <w:rPr>
                        <w:rStyle w:val="Hyperlink"/>
                      </w:rPr>
                      <w:t xml:space="preserve">Person—smoking status recorded indicator, yes/no code N</w:t>
                    </w:r>
                  </w:hyperlink>
                  <w:r>
                    <w:t xml:space="preserve">'. </w:t>
                  </w:r>
                </w:p>
                <w:p>
                  <w:r>
                    <w:rPr>
                      <w:b/>
                      <w:i/>
                      <w:color w:val="333333"/>
                    </w:rPr>
                    <w:t xml:space="preserve">DSS specific information:</w:t>
                  </w:r>
                </w:p>
                <w:p>
                  <w:r>
                    <w:t xml:space="preserve">Data are provided to the AIHW twice, for smoking status results recorded within the previous 12 months and within the previous 24 months (up to the census date.)</w:t>
                  </w:r>
                </w:p>
                <w:p>
                  <w:r>
                    <w:t xml:space="preserve">Data relating to only the most recently recorded result is provided to the AIHW.</w:t>
                  </w:r>
                </w:p>
                <w:p>
                  <w:r>
                    <w:t xml:space="preserve">Where the smoking status does not have an assessment date assigned, it should be treated as being up to date (that is, as having been updated in the 12 or 24 months up to the census date).</w:t>
                  </w:r>
                </w:p>
                <w:p>
                  <w:r>
                    <w:t xml:space="preserve">Data for CODE 1, CODE 2 and CODE 3 are combined into the category ‘Current smoker’.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bf4f064aa84fa9">
                    <w:r>
                      <w:rPr>
                        <w:rStyle w:val="Hyperlink"/>
                      </w:rPr>
                      <w:t xml:space="preserve">Person—total cholesterol measurement result recorded indicator, yes/no code N</w:t>
                    </w:r>
                  </w:hyperlink>
                </w:p>
                <w:p>
                  <w:r>
                    <w:rPr>
                      <w:b/>
                      <w:i/>
                      <w:color w:val="333333"/>
                    </w:rPr>
                    <w:t xml:space="preserve">Conditional obligation:</w:t>
                  </w:r>
                </w:p>
                <w:p>
                  <w:r>
                    <w:t xml:space="preserve">Reporting against this data element is conditional on a person having a 'CODE 2 No' response to '</w:t>
                  </w:r>
                  <w:hyperlink w:history="true" r:id="R369ec6af7a6c4563">
                    <w:r>
                      <w:rPr>
                        <w:rStyle w:val="Hyperlink"/>
                      </w:rPr>
                      <w:t xml:space="preserve">Person—cardiovascular disease recorded indicator, yes/no code N</w:t>
                    </w:r>
                  </w:hyperlink>
                  <w:r>
                    <w:t xml:space="preserv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affe372b45454a">
                    <w:r>
                      <w:rPr>
                        <w:rStyle w:val="Hyperlink"/>
                      </w:rPr>
                      <w:t xml:space="preserve">Pregnancy—birth plurality, code N</w:t>
                    </w:r>
                  </w:hyperlink>
                </w:p>
                <w:p>
                  <w:r>
                    <w:rPr>
                      <w:b/>
                      <w:i/>
                      <w:color w:val="333333"/>
                    </w:rPr>
                    <w:t xml:space="preserve">Conditional obligation:</w:t>
                  </w:r>
                </w:p>
                <w:p>
                  <w:r>
                    <w:t xml:space="preserve">This data element is only reported against for babies born in the 12 months up to the census date.</w:t>
                  </w:r>
                </w:p>
                <w:p>
                  <w:r>
                    <w:t xml:space="preserve">Data are provided to the AIHW 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1003fa1abdd4dad">
                    <w:r>
                      <w:rPr>
                        <w:rStyle w:val="Hyperlink"/>
                        <w:b/>
                      </w:rPr>
                      <w:t xml:space="preserve">live births</w:t>
                    </w:r>
                  </w:hyperlink>
                  <w:r>
                    <w:t xml:space="preserve"> that are at least 400 grams or the gestational age was 20 weeks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5bba558bc444af">
                    <w:r>
                      <w:rPr>
                        <w:rStyle w:val="Hyperlink"/>
                      </w:rPr>
                      <w:t xml:space="preserve">Pregnancy—estimated duration of pregnancy at the first antenatal care visit, total completed weeks N[N]</w:t>
                    </w:r>
                  </w:hyperlink>
                </w:p>
                <w:p>
                  <w:r>
                    <w:rPr>
                      <w:b/>
                      <w:i/>
                      <w:color w:val="333333"/>
                    </w:rPr>
                    <w:t xml:space="preserve">Conditional obligation:</w:t>
                  </w:r>
                </w:p>
                <w:p>
                  <w:r>
                    <w:t xml:space="preserve">Reporting against this data element is conditional on a 'CODE 2 Female' response to '</w:t>
                  </w:r>
                  <w:hyperlink w:history="true" r:id="Rf4042aa9f3f64e70">
                    <w:r>
                      <w:rPr>
                        <w:rStyle w:val="Hyperlink"/>
                      </w:rPr>
                      <w:t xml:space="preserve">Person—sex, code X</w:t>
                    </w:r>
                  </w:hyperlink>
                  <w:r>
                    <w:t xml:space="preserve">'.</w:t>
                  </w:r>
                </w:p>
                <w:p>
                  <w:r>
                    <w:t xml:space="preserve">Data are only provided to the AIHW for females who gave birth during the 12 months up to the census date.</w:t>
                  </w:r>
                </w:p>
                <w:p>
                  <w:r>
                    <w:t xml:space="preserve">Data are provided to the AIHW 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5a9c02334944d3e">
                    <w:r>
                      <w:rPr>
                        <w:rStyle w:val="Hyperlink"/>
                        <w:b/>
                      </w:rPr>
                      <w:t xml:space="preserve">live births</w:t>
                    </w:r>
                  </w:hyperlink>
                  <w: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5683604add094ca1">
                    <w:r>
                      <w:rPr>
                        <w:rStyle w:val="Hyperlink"/>
                        <w:b/>
                      </w:rPr>
                      <w:t xml:space="preserve">still births</w:t>
                    </w:r>
                  </w:hyperlink>
                  <w:r>
                    <w:t xml:space="preserve"> if the birthweight was at least 400 grams or the gestational age was 20 weeks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39c573ad5943e4">
                    <w:r>
                      <w:rPr>
                        <w:rStyle w:val="Hyperlink"/>
                      </w:rPr>
                      <w:t xml:space="preserve">Product of birth—birth status, code N</w:t>
                    </w:r>
                  </w:hyperlink>
                </w:p>
                <w:p>
                  <w:r>
                    <w:rPr>
                      <w:b/>
                      <w:i/>
                      <w:color w:val="333333"/>
                    </w:rPr>
                    <w:t xml:space="preserve">Conditional obligation:</w:t>
                  </w:r>
                </w:p>
                <w:p>
                  <w:r>
                    <w:t xml:space="preserve">Data are only provided to the AIHW for babies born during the preceding 12 months up to the census date. In the case of multiple births, data should be provided for each baby born.</w:t>
                  </w:r>
                </w:p>
                <w:p>
                  <w:r>
                    <w:rPr>
                      <w:b/>
                      <w:i/>
                      <w:color w:val="333333"/>
                    </w:rPr>
                    <w:t xml:space="preserve">DSS specific information:</w:t>
                  </w:r>
                </w:p>
                <w:p>
                  <w:r>
                    <w:t xml:space="preserve">Data are provided to the AIHW twice:</w:t>
                  </w:r>
                </w:p>
                <w:p>
                  <w:pPr>
                    <w:pStyle w:val="ListParagraph"/>
                    <w:numPr>
                      <w:ilvl w:val="0"/>
                      <w:numId w:val="29"/>
                    </w:numPr>
                  </w:pPr>
                  <w:r>
                    <w:t xml:space="preserve">relating to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76d4744be544b5e">
                    <w:r>
                      <w:rPr>
                        <w:rStyle w:val="Hyperlink"/>
                        <w:b/>
                      </w:rPr>
                      <w:t xml:space="preserve">live births</w:t>
                    </w:r>
                  </w:hyperlink>
                  <w:r>
                    <w:t xml:space="preserve"> only, and;</w:t>
                  </w:r>
                </w:p>
                <w:p>
                  <w:pPr>
                    <w:pStyle w:val="ListParagraph"/>
                    <w:numPr>
                      <w:ilvl w:val="0"/>
                      <w:numId w:val="29"/>
                    </w:numPr>
                  </w:pPr>
                  <w:r>
                    <w:t xml:space="preserve">relating to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c9568edc87f4c2e">
                    <w:r>
                      <w:rPr>
                        <w:rStyle w:val="Hyperlink"/>
                        <w:b/>
                      </w:rPr>
                      <w:t xml:space="preserve">live births,</w:t>
                    </w:r>
                  </w:hyperlink>
                  <w:r>
                    <w:t xml:space="preserve"> and to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b19b68a714314f79">
                    <w:r>
                      <w:rPr>
                        <w:rStyle w:val="Hyperlink"/>
                        <w:b/>
                      </w:rPr>
                      <w:t xml:space="preserve">still births</w:t>
                    </w:r>
                  </w:hyperlink>
                  <w:r>
                    <w:t xml:space="preserve"> if the birthweight was at least 400 grams or the gestational age was 20 weeks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bbed5a05cd40a4">
                    <w:r>
                      <w:rPr>
                        <w:rStyle w:val="Hyperlink"/>
                      </w:rPr>
                      <w:t xml:space="preserve">Product of birth—birthweight, code N</w:t>
                    </w:r>
                  </w:hyperlink>
                </w:p>
                <w:p>
                  <w:r>
                    <w:rPr>
                      <w:b/>
                      <w:i/>
                      <w:color w:val="333333"/>
                    </w:rPr>
                    <w:t xml:space="preserve">Conditional obligation:</w:t>
                  </w:r>
                </w:p>
                <w:p>
                  <w:r>
                    <w:t xml:space="preserve">Reporting against this data element is conditional on a 'CODE 1 Yes' response to '</w:t>
                  </w:r>
                  <w:hyperlink w:history="true" r:id="R13af945043664dfa">
                    <w:r>
                      <w:rPr>
                        <w:rStyle w:val="Hyperlink"/>
                      </w:rPr>
                      <w:t xml:space="preserve">Person—birthweight recorded indicator, yes/no code N</w:t>
                    </w:r>
                  </w:hyperlink>
                  <w:r>
                    <w:t xml:space="preserve">', and a 'CODE 1 Singleton' response to '</w:t>
                  </w:r>
                  <w:hyperlink w:history="true" r:id="R456fc5f2943c42d3">
                    <w:r>
                      <w:rPr>
                        <w:rStyle w:val="Hyperlink"/>
                      </w:rPr>
                      <w:t xml:space="preserve">Pregnancy—birth plurality, code N</w:t>
                    </w:r>
                  </w:hyperlink>
                  <w:r>
                    <w:t xml:space="preserve">.'</w:t>
                  </w:r>
                </w:p>
                <w:p>
                  <w:r>
                    <w:t xml:space="preserve">Data are only provided to the AIHW for babies born during the preceding 12 months up to the census date.</w:t>
                  </w:r>
                </w:p>
                <w:p>
                  <w: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302b133bbaa46b5">
                    <w:r>
                      <w:rPr>
                        <w:rStyle w:val="Hyperlink"/>
                        <w:b/>
                      </w:rPr>
                      <w:t xml:space="preserve">live births</w:t>
                    </w:r>
                  </w:hyperlink>
                  <w:r>
                    <w:t xml:space="preserve"> that are at least 20 weeks’ gestation or at least 400 grams birthweight. </w:t>
                  </w:r>
                </w:p>
                <w:p>
                  <w:r>
                    <w:t xml:space="preserve">Data are not provided to the AIHW for babies without a medical record of their own at the health organisation, even if their information is recorded in their mother's record.</w:t>
                  </w:r>
                </w:p>
                <w:p>
                  <w:r>
                    <w:t xml:space="preserve">Data are not provided to the AIHW for babies with unknown gestational age.</w:t>
                  </w:r>
                </w:p>
                <w:p>
                  <w:r>
                    <w:rPr>
                      <w:b/>
                      <w:i/>
                      <w:color w:val="333333"/>
                    </w:rPr>
                    <w:t xml:space="preserve">DSS specific information:</w:t>
                  </w:r>
                </w:p>
                <w:p>
                  <w: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e8685f57a53a4a3b">
                    <w:r>
                      <w:rPr>
                        <w:rStyle w:val="Hyperlink"/>
                        <w:b/>
                      </w:rPr>
                      <w:t xml:space="preserve">Indigenous regular client</w:t>
                    </w:r>
                  </w:hyperlink>
                  <w:r>
                    <w:t xml:space="preserve">, as long as they have a file at the health organisation.</w:t>
                  </w:r>
                </w:p>
                <w:p>
                  <w:r>
                    <w:t xml:space="preserve">The birthweight may have been recorded during an appointment or received from sharing client data with other organisations, such as a hospital.</w:t>
                  </w:r>
                </w:p>
                <w:p>
                  <w:r>
                    <w:t xml:space="preserve">In the ISPHC NBEDS only aggregated data with CODE 1, CODE 2, or CODE 3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bfa1aa92ea4c44">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8b0e1145bfe40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738532</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dba676963c44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1"/>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b0e1145bfe4059" /><Relationship Type="http://schemas.openxmlformats.org/officeDocument/2006/relationships/header" Target="/word/header1.xml" Id="R1e104a028d9c4b7e" /><Relationship Type="http://schemas.openxmlformats.org/officeDocument/2006/relationships/settings" Target="/word/settings.xml" Id="R5ad5fc26b16345c1" /><Relationship Type="http://schemas.openxmlformats.org/officeDocument/2006/relationships/styles" Target="/word/styles.xml" Id="Rb185095611be448b" /><Relationship Type="http://schemas.openxmlformats.org/officeDocument/2006/relationships/numbering" Target="/word/numbering.xml" Id="R8bbd0fb926334420" /><Relationship Type="http://schemas.openxmlformats.org/officeDocument/2006/relationships/hyperlink" Target="https://meteor-uat.aihw.gov.au/RegistrationAuthority/9" TargetMode="External" Id="Rbb30bfc93abe45b4" /><Relationship Type="http://schemas.openxmlformats.org/officeDocument/2006/relationships/hyperlink" Target="https://meteor-uat.aihw.gov.au/content/731839" TargetMode="External" Id="R54c8e6afb0294556" /><Relationship Type="http://schemas.openxmlformats.org/officeDocument/2006/relationships/hyperlink" Target="https://meteor-uat.aihw.gov.au/content/737993" TargetMode="External" Id="R60a3739c0e4542e4" /><Relationship Type="http://schemas.openxmlformats.org/officeDocument/2006/relationships/hyperlink" Target="https://meteor-uat.aihw.gov.au/content/602543" TargetMode="External" Id="R4ee59b0988054084" /><Relationship Type="http://schemas.openxmlformats.org/officeDocument/2006/relationships/hyperlink" Target="https://meteor-uat.aihw.gov.au/content/686291" TargetMode="External" Id="R81856dc0bf6c4065" /><Relationship Type="http://schemas.openxmlformats.org/officeDocument/2006/relationships/hyperlink" Target="https://meteor-uat.aihw.gov.au/content/303794" TargetMode="External" Id="R46caddba3d424914" /><Relationship Type="http://schemas.openxmlformats.org/officeDocument/2006/relationships/hyperlink" Target="https://meteor-uat.aihw.gov.au/content/441380" TargetMode="External" Id="R6926c435154c41bf" /><Relationship Type="http://schemas.openxmlformats.org/officeDocument/2006/relationships/hyperlink" Target="https://meteor-uat.aihw.gov.au/content/737993" TargetMode="External" Id="Rf04c9be7ea424f98" /><Relationship Type="http://schemas.openxmlformats.org/officeDocument/2006/relationships/hyperlink" Target="https://dataportal.health.gov.au/wps/wcm/connect/dataportal/37641a96-9df0-4d40-8b21-51721c5e80e5/nKPI+User+Guide+for+December+2020+collection+period.pdf?MOD=AJPERES" TargetMode="External" Id="Rdc47732db11f4f99" /><Relationship Type="http://schemas.openxmlformats.org/officeDocument/2006/relationships/hyperlink" Target="https://meteor-uat.aihw.gov.au/content/707502" TargetMode="External" Id="Rfaa26f5115654cba" /><Relationship Type="http://schemas.openxmlformats.org/officeDocument/2006/relationships/hyperlink" Target="https://meteor-uat.aihw.gov.au/RegistrationAuthority/14" TargetMode="External" Id="R32493a6023954815" /><Relationship Type="http://schemas.openxmlformats.org/officeDocument/2006/relationships/hyperlink" Target="https://meteor-uat.aihw.gov.au/RegistrationAuthority/9" TargetMode="External" Id="Re281139bbde34c23" /><Relationship Type="http://schemas.openxmlformats.org/officeDocument/2006/relationships/hyperlink" Target="https://meteor-uat.aihw.gov.au/content/731839" TargetMode="External" Id="Rfc6646b7eabd4167" /><Relationship Type="http://schemas.openxmlformats.org/officeDocument/2006/relationships/hyperlink" Target="https://meteor-uat.aihw.gov.au/RegistrationAuthority/9" TargetMode="External" Id="Re48eaa5ace3843b5" /><Relationship Type="http://schemas.openxmlformats.org/officeDocument/2006/relationships/hyperlink" Target="https://meteor-uat.aihw.gov.au/content/429252" TargetMode="External" Id="Rd032d32f50224d09" /><Relationship Type="http://schemas.openxmlformats.org/officeDocument/2006/relationships/hyperlink" Target="https://meteor-uat.aihw.gov.au/content/611398" TargetMode="External" Id="R12171ffe46d34c78" /><Relationship Type="http://schemas.openxmlformats.org/officeDocument/2006/relationships/hyperlink" Target="https://meteor-uat.aihw.gov.au/content/722751" TargetMode="External" Id="R9a860d8976a9478e" /><Relationship Type="http://schemas.openxmlformats.org/officeDocument/2006/relationships/hyperlink" Target="https://meteor-uat.aihw.gov.au/content/522692" TargetMode="External" Id="Rb6ec0f62c0a74691" /><Relationship Type="http://schemas.openxmlformats.org/officeDocument/2006/relationships/hyperlink" Target="https://meteor-uat.aihw.gov.au/content/522584" TargetMode="External" Id="R335527e7f9ff4ee3" /><Relationship Type="http://schemas.openxmlformats.org/officeDocument/2006/relationships/hyperlink" Target="https://meteor-uat.aihw.gov.au/content/429747" TargetMode="External" Id="Re4e2799c36dd4883" /><Relationship Type="http://schemas.openxmlformats.org/officeDocument/2006/relationships/hyperlink" Target="https://meteor-uat.aihw.gov.au/content/429586" TargetMode="External" Id="R3f23353e1bcc4e8f" /><Relationship Type="http://schemas.openxmlformats.org/officeDocument/2006/relationships/hyperlink" Target="https://meteor-uat.aihw.gov.au/content/429594" TargetMode="External" Id="R7be3f4839a59495d" /><Relationship Type="http://schemas.openxmlformats.org/officeDocument/2006/relationships/hyperlink" Target="https://meteor-uat.aihw.gov.au/content/429840" TargetMode="External" Id="R0ee77773dc1b457d" /><Relationship Type="http://schemas.openxmlformats.org/officeDocument/2006/relationships/hyperlink" Target="https://meteor-uat.aihw.gov.au/content/429012" TargetMode="External" Id="R50a1c7e7f34e4a1f" /><Relationship Type="http://schemas.openxmlformats.org/officeDocument/2006/relationships/hyperlink" Target="https://meteor-uat.aihw.gov.au/content/429889" TargetMode="External" Id="R0a282f077e0a47c2" /><Relationship Type="http://schemas.openxmlformats.org/officeDocument/2006/relationships/hyperlink" Target="https://meteor-uat.aihw.gov.au/content/720830" TargetMode="External" Id="Ra131e83c793d4036" /><Relationship Type="http://schemas.openxmlformats.org/officeDocument/2006/relationships/hyperlink" Target="https://meteor-uat.aihw.gov.au/content/731925" TargetMode="External" Id="R16e30606e591425f" /><Relationship Type="http://schemas.openxmlformats.org/officeDocument/2006/relationships/hyperlink" Target="https://meteor-uat.aihw.gov.au/content/635126" TargetMode="External" Id="R7eae945d128f4b1e" /><Relationship Type="http://schemas.openxmlformats.org/officeDocument/2006/relationships/hyperlink" Target="https://meteor-uat.aihw.gov.au/content/457775" TargetMode="External" Id="Re81e2011ba9f4d20" /><Relationship Type="http://schemas.openxmlformats.org/officeDocument/2006/relationships/hyperlink" Target="https://meteor-uat.aihw.gov.au/content/737993" TargetMode="External" Id="Rbeb5670ea21f4e1e" /><Relationship Type="http://schemas.openxmlformats.org/officeDocument/2006/relationships/hyperlink" Target="https://meteor-uat.aihw.gov.au/content/739132" TargetMode="External" Id="R3f38397069a34432" /><Relationship Type="http://schemas.openxmlformats.org/officeDocument/2006/relationships/hyperlink" Target="https://meteor-uat.aihw.gov.au/content/635126" TargetMode="External" Id="R84130d5ee5554273" /><Relationship Type="http://schemas.openxmlformats.org/officeDocument/2006/relationships/hyperlink" Target="https://meteor-uat.aihw.gov.au/content/733187" TargetMode="External" Id="R97cc9d4edf234a8d" /><Relationship Type="http://schemas.openxmlformats.org/officeDocument/2006/relationships/hyperlink" Target="https://meteor-uat.aihw.gov.au/content/733271" TargetMode="External" Id="Rdda8045d460842a5" /><Relationship Type="http://schemas.openxmlformats.org/officeDocument/2006/relationships/hyperlink" Target="https://meteor-uat.aihw.gov.au/content/457775" TargetMode="External" Id="R654edf6ade394688" /><Relationship Type="http://schemas.openxmlformats.org/officeDocument/2006/relationships/hyperlink" Target="https://meteor-uat.aihw.gov.au/content/635126" TargetMode="External" Id="R279488a4f59343da" /><Relationship Type="http://schemas.openxmlformats.org/officeDocument/2006/relationships/hyperlink" Target="https://meteor-uat.aihw.gov.au/content/617526" TargetMode="External" Id="Rd11ec1af06774dfe" /><Relationship Type="http://schemas.openxmlformats.org/officeDocument/2006/relationships/hyperlink" Target="https://meteor-uat.aihw.gov.au/content/453823" TargetMode="External" Id="Rb59f86814fe64bbd" /><Relationship Type="http://schemas.openxmlformats.org/officeDocument/2006/relationships/hyperlink" Target="https://meteor-uat.aihw.gov.au/content/699029" TargetMode="External" Id="R9a54d2743a7a4c23" /><Relationship Type="http://schemas.openxmlformats.org/officeDocument/2006/relationships/hyperlink" Target="https://meteor-uat.aihw.gov.au/content/699031" TargetMode="External" Id="R57d536ce22cf4992" /><Relationship Type="http://schemas.openxmlformats.org/officeDocument/2006/relationships/hyperlink" Target="https://meteor-uat.aihw.gov.au/content/465948" TargetMode="External" Id="R73aa390c90f9468a" /><Relationship Type="http://schemas.openxmlformats.org/officeDocument/2006/relationships/hyperlink" Target="https://meteor-uat.aihw.gov.au/content/699031" TargetMode="External" Id="R2a9c922562664476" /><Relationship Type="http://schemas.openxmlformats.org/officeDocument/2006/relationships/hyperlink" Target="https://meteor-uat.aihw.gov.au/content/465948" TargetMode="External" Id="Rfcd39beb9f904a3d" /><Relationship Type="http://schemas.openxmlformats.org/officeDocument/2006/relationships/hyperlink" Target="https://meteor-uat.aihw.gov.au/content/538047" TargetMode="External" Id="R77750f45bb4c43fe" /><Relationship Type="http://schemas.openxmlformats.org/officeDocument/2006/relationships/hyperlink" Target="https://meteor-uat.aihw.gov.au/content/303794" TargetMode="External" Id="R5de73d32f4a941d3" /><Relationship Type="http://schemas.openxmlformats.org/officeDocument/2006/relationships/hyperlink" Target="https://meteor-uat.aihw.gov.au/content/699033" TargetMode="External" Id="R8d067c5515804758" /><Relationship Type="http://schemas.openxmlformats.org/officeDocument/2006/relationships/hyperlink" Target="https://meteor-uat.aihw.gov.au/content/464970" TargetMode="External" Id="Rb078bf9f48e04dfc" /><Relationship Type="http://schemas.openxmlformats.org/officeDocument/2006/relationships/hyperlink" Target="https://meteor-uat.aihw.gov.au/content/441441" TargetMode="External" Id="Rad303bf52335431d" /><Relationship Type="http://schemas.openxmlformats.org/officeDocument/2006/relationships/hyperlink" Target="https://meteor-uat.aihw.gov.au/content/585171" TargetMode="External" Id="Rc98ed2f876274392" /><Relationship Type="http://schemas.openxmlformats.org/officeDocument/2006/relationships/hyperlink" Target="https://meteor-uat.aihw.gov.au/content/741483" TargetMode="External" Id="Ra22701a6332043f9" /><Relationship Type="http://schemas.openxmlformats.org/officeDocument/2006/relationships/hyperlink" Target="https://meteor-uat.aihw.gov.au/content/585171" TargetMode="External" Id="Re7e1a456b00b4c8b" /><Relationship Type="http://schemas.openxmlformats.org/officeDocument/2006/relationships/hyperlink" Target="https://meteor-uat.aihw.gov.au/content/709571" TargetMode="External" Id="R753bae87f5f941bc" /><Relationship Type="http://schemas.openxmlformats.org/officeDocument/2006/relationships/hyperlink" Target="https://meteor-uat.aihw.gov.au/content/733187" TargetMode="External" Id="Ra8b5b52f86fa46b6" /><Relationship Type="http://schemas.openxmlformats.org/officeDocument/2006/relationships/hyperlink" Target="https://meteor-uat.aihw.gov.au/content/737993" TargetMode="External" Id="R68d6b578f94140f7" /><Relationship Type="http://schemas.openxmlformats.org/officeDocument/2006/relationships/hyperlink" Target="https://meteor-uat.aihw.gov.au/content/443234" TargetMode="External" Id="R531bdfd2b92248d9" /><Relationship Type="http://schemas.openxmlformats.org/officeDocument/2006/relationships/hyperlink" Target="https://meteor-uat.aihw.gov.au/content/270194" TargetMode="External" Id="Rb92e0f96c9f64018" /><Relationship Type="http://schemas.openxmlformats.org/officeDocument/2006/relationships/hyperlink" Target="https://meteor-uat.aihw.gov.au/content/441407" TargetMode="External" Id="Rfcb86b53f4b646b8" /><Relationship Type="http://schemas.openxmlformats.org/officeDocument/2006/relationships/hyperlink" Target="https://meteor-uat.aihw.gov.au/content/270194" TargetMode="External" Id="R0fe3483574c645c7" /><Relationship Type="http://schemas.openxmlformats.org/officeDocument/2006/relationships/hyperlink" Target="https://meteor-uat.aihw.gov.au/content/270474" TargetMode="External" Id="Rd348b7516f724644" /><Relationship Type="http://schemas.openxmlformats.org/officeDocument/2006/relationships/hyperlink" Target="https://meteor-uat.aihw.gov.au/content/443083" TargetMode="External" Id="R807ae7d725b24a2a" /><Relationship Type="http://schemas.openxmlformats.org/officeDocument/2006/relationships/hyperlink" Target="https://meteor-uat.aihw.gov.au/content/443083" TargetMode="External" Id="R0ab057a5f2e64378" /><Relationship Type="http://schemas.openxmlformats.org/officeDocument/2006/relationships/hyperlink" Target="https://meteor-uat.aihw.gov.au/content/465948" TargetMode="External" Id="R710d767f18cf495a" /><Relationship Type="http://schemas.openxmlformats.org/officeDocument/2006/relationships/hyperlink" Target="https://meteor-uat.aihw.gov.au/content/731705" TargetMode="External" Id="R324f46884af14572" /><Relationship Type="http://schemas.openxmlformats.org/officeDocument/2006/relationships/hyperlink" Target="https://meteor-uat.aihw.gov.au/content/270194" TargetMode="External" Id="Re947892908e5499d" /><Relationship Type="http://schemas.openxmlformats.org/officeDocument/2006/relationships/hyperlink" Target="https://meteor-uat.aihw.gov.au/content/731693" TargetMode="External" Id="Rfdae23c147374d21" /><Relationship Type="http://schemas.openxmlformats.org/officeDocument/2006/relationships/hyperlink" Target="https://meteor-uat.aihw.gov.au/content/464928" TargetMode="External" Id="R544cc76927574c4b" /><Relationship Type="http://schemas.openxmlformats.org/officeDocument/2006/relationships/hyperlink" Target="https://meteor-uat.aihw.gov.au/content/270194" TargetMode="External" Id="R34da7b5491b64054" /><Relationship Type="http://schemas.openxmlformats.org/officeDocument/2006/relationships/hyperlink" Target="https://meteor-uat.aihw.gov.au/content/464961" TargetMode="External" Id="R7863441ca4ab4311" /><Relationship Type="http://schemas.openxmlformats.org/officeDocument/2006/relationships/hyperlink" Target="https://meteor-uat.aihw.gov.au/content/503010" TargetMode="External" Id="R06ee816b89f743f7" /><Relationship Type="http://schemas.openxmlformats.org/officeDocument/2006/relationships/hyperlink" Target="https://meteor-uat.aihw.gov.au/content/464961" TargetMode="External" Id="R9eeec8299c254534" /><Relationship Type="http://schemas.openxmlformats.org/officeDocument/2006/relationships/hyperlink" Target="https://meteor-uat.aihw.gov.au/content/589601" TargetMode="External" Id="Rabdaaef4d2e94dd6" /><Relationship Type="http://schemas.openxmlformats.org/officeDocument/2006/relationships/hyperlink" Target="https://meteor-uat.aihw.gov.au/content/270194" TargetMode="External" Id="R649698472c104621" /><Relationship Type="http://schemas.openxmlformats.org/officeDocument/2006/relationships/hyperlink" Target="https://meteor-uat.aihw.gov.au/content/441495" TargetMode="External" Id="R0d1a72fc2d524965" /><Relationship Type="http://schemas.openxmlformats.org/officeDocument/2006/relationships/hyperlink" Target="https://meteor-uat.aihw.gov.au/content/441495" TargetMode="External" Id="Rfb8d0d1df8e64b30" /><Relationship Type="http://schemas.openxmlformats.org/officeDocument/2006/relationships/hyperlink" Target="https://meteor-uat.aihw.gov.au/content/270194" TargetMode="External" Id="R8dce0f9cf668412d" /><Relationship Type="http://schemas.openxmlformats.org/officeDocument/2006/relationships/hyperlink" Target="https://meteor-uat.aihw.gov.au/content/594647" TargetMode="External" Id="R69c9bf5c5f4444db" /><Relationship Type="http://schemas.openxmlformats.org/officeDocument/2006/relationships/hyperlink" Target="https://meteor-uat.aihw.gov.au/content/465948" TargetMode="External" Id="R8909b3cb6b3744a0" /><Relationship Type="http://schemas.openxmlformats.org/officeDocument/2006/relationships/hyperlink" Target="https://meteor-uat.aihw.gov.au/content/731682" TargetMode="External" Id="Rff60d46b055746b3" /><Relationship Type="http://schemas.openxmlformats.org/officeDocument/2006/relationships/hyperlink" Target="https://meteor-uat.aihw.gov.au/content/731662" TargetMode="External" Id="Rff04dc868ad24391" /><Relationship Type="http://schemas.openxmlformats.org/officeDocument/2006/relationships/hyperlink" Target="https://meteor-uat.aihw.gov.au/content/602543" TargetMode="External" Id="Rbc10ef91bbf94014" /><Relationship Type="http://schemas.openxmlformats.org/officeDocument/2006/relationships/hyperlink" Target="https://meteor-uat.aihw.gov.au/content/457688" TargetMode="External" Id="R101f6bb624744e3c" /><Relationship Type="http://schemas.openxmlformats.org/officeDocument/2006/relationships/hyperlink" Target="https://meteor-uat.aihw.gov.au/content/464970" TargetMode="External" Id="Rde746ccaead04c73" /><Relationship Type="http://schemas.openxmlformats.org/officeDocument/2006/relationships/hyperlink" Target="https://meteor-uat.aihw.gov.au/content/270194" TargetMode="External" Id="Rcae4782b0d2c4d0f" /><Relationship Type="http://schemas.openxmlformats.org/officeDocument/2006/relationships/hyperlink" Target="https://meteor-uat.aihw.gov.au/content/686291" TargetMode="External" Id="R52fa9821da0d45ab" /><Relationship Type="http://schemas.openxmlformats.org/officeDocument/2006/relationships/hyperlink" Target="https://meteor-uat.aihw.gov.au/content/635126" TargetMode="External" Id="Re92cbf795dfa48ca" /><Relationship Type="http://schemas.openxmlformats.org/officeDocument/2006/relationships/hyperlink" Target="https://meteor-uat.aihw.gov.au/content/441380" TargetMode="External" Id="R32dcf66ac87746aa" /><Relationship Type="http://schemas.openxmlformats.org/officeDocument/2006/relationships/hyperlink" Target="https://meteor-uat.aihw.gov.au/content/588766" TargetMode="External" Id="R58aaecbc12b94735" /><Relationship Type="http://schemas.openxmlformats.org/officeDocument/2006/relationships/hyperlink" Target="https://meteor-uat.aihw.gov.au/content/465948" TargetMode="External" Id="R92a18f83a27f4356" /><Relationship Type="http://schemas.openxmlformats.org/officeDocument/2006/relationships/hyperlink" Target="https://meteor-uat.aihw.gov.au/content/270311" TargetMode="External" Id="Rf7e1d22f6bc5412b" /><Relationship Type="http://schemas.openxmlformats.org/officeDocument/2006/relationships/hyperlink" Target="https://meteor-uat.aihw.gov.au/content/441380" TargetMode="External" Id="R76145b3fa02b42e7" /><Relationship Type="http://schemas.openxmlformats.org/officeDocument/2006/relationships/hyperlink" Target="https://meteor-uat.aihw.gov.au/content/588774" TargetMode="External" Id="Rabbf4f064aa84fa9" /><Relationship Type="http://schemas.openxmlformats.org/officeDocument/2006/relationships/hyperlink" Target="https://meteor-uat.aihw.gov.au/content/465948" TargetMode="External" Id="R369ec6af7a6c4563" /><Relationship Type="http://schemas.openxmlformats.org/officeDocument/2006/relationships/hyperlink" Target="https://meteor-uat.aihw.gov.au/content/732874" TargetMode="External" Id="R17affe372b45454a" /><Relationship Type="http://schemas.openxmlformats.org/officeDocument/2006/relationships/hyperlink" Target="https://meteor-uat.aihw.gov.au/content/733187" TargetMode="External" Id="Re1003fa1abdd4dad" /><Relationship Type="http://schemas.openxmlformats.org/officeDocument/2006/relationships/hyperlink" Target="https://meteor-uat.aihw.gov.au/content/732908" TargetMode="External" Id="Reb5bba558bc444af" /><Relationship Type="http://schemas.openxmlformats.org/officeDocument/2006/relationships/hyperlink" Target="https://meteor-uat.aihw.gov.au/content/635126" TargetMode="External" Id="Rf4042aa9f3f64e70" /><Relationship Type="http://schemas.openxmlformats.org/officeDocument/2006/relationships/hyperlink" Target="https://meteor-uat.aihw.gov.au/content/733187" TargetMode="External" Id="Rd5a9c02334944d3e" /><Relationship Type="http://schemas.openxmlformats.org/officeDocument/2006/relationships/hyperlink" Target="https://meteor-uat.aihw.gov.au/content/733271" TargetMode="External" Id="R5683604add094ca1" /><Relationship Type="http://schemas.openxmlformats.org/officeDocument/2006/relationships/hyperlink" Target="https://meteor-uat.aihw.gov.au/content/732895" TargetMode="External" Id="R0439c573ad5943e4" /><Relationship Type="http://schemas.openxmlformats.org/officeDocument/2006/relationships/hyperlink" Target="https://meteor-uat.aihw.gov.au/content/733187" TargetMode="External" Id="Ra76d4744be544b5e" /><Relationship Type="http://schemas.openxmlformats.org/officeDocument/2006/relationships/hyperlink" Target="https://meteor-uat.aihw.gov.au/content/733187" TargetMode="External" Id="R3c9568edc87f4c2e" /><Relationship Type="http://schemas.openxmlformats.org/officeDocument/2006/relationships/hyperlink" Target="https://meteor-uat.aihw.gov.au/content/733271" TargetMode="External" Id="Rb19b68a714314f79" /><Relationship Type="http://schemas.openxmlformats.org/officeDocument/2006/relationships/hyperlink" Target="https://meteor-uat.aihw.gov.au/content/742849" TargetMode="External" Id="R88bbed5a05cd40a4" /><Relationship Type="http://schemas.openxmlformats.org/officeDocument/2006/relationships/hyperlink" Target="https://meteor-uat.aihw.gov.au/content/709571" TargetMode="External" Id="R13af945043664dfa" /><Relationship Type="http://schemas.openxmlformats.org/officeDocument/2006/relationships/hyperlink" Target="https://meteor-uat.aihw.gov.au/content/732874" TargetMode="External" Id="R456fc5f2943c42d3" /><Relationship Type="http://schemas.openxmlformats.org/officeDocument/2006/relationships/hyperlink" Target="https://meteor-uat.aihw.gov.au/content/733187" TargetMode="External" Id="Re302b133bbaa46b5" /><Relationship Type="http://schemas.openxmlformats.org/officeDocument/2006/relationships/hyperlink" Target="https://meteor-uat.aihw.gov.au/content/737993" TargetMode="External" Id="Re8685f57a53a4a3b" /><Relationship Type="http://schemas.openxmlformats.org/officeDocument/2006/relationships/hyperlink" Target="https://meteor-uat.aihw.gov.au/content/720076" TargetMode="External" Id="R8dbfa1aa92ea4c44" /></Relationships>
</file>

<file path=word/_rels/header1.xml.rels>&#65279;<?xml version="1.0" encoding="utf-8"?><Relationships xmlns="http://schemas.openxmlformats.org/package/2006/relationships"><Relationship Type="http://schemas.openxmlformats.org/officeDocument/2006/relationships/image" Target="/media/image.png" Id="R34dba676963c44e5" /></Relationships>
</file>