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dde19a0954842" /></Relationships>
</file>

<file path=word/document.xml><?xml version="1.0" encoding="utf-8"?>
<w:document xmlns:r="http://schemas.openxmlformats.org/officeDocument/2006/relationships" xmlns:w="http://schemas.openxmlformats.org/wordprocessingml/2006/main">
  <w:body>
    <w:p>
      <w:pPr>
        <w:pStyle w:val="Title"/>
      </w:pPr>
      <w:r>
        <w:t>Antimicrobial stewardship: 8d-The proportion of patients who were prescribed prolonged antimicrobials following a surgery or procedure that is discordant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8d-The proportion of patients who were prescribed prolonged antimicrobials following a surgery or procedure that is discordant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8d-The proportion of patients who were prescribed prolonged antimicrobials following a surgery or procedure that is discordant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5222344af42fd">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were prescribed prolonged antimicrobials following a surgery or procedure that is discordant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a274d7932b43cb">
              <w:r>
                <w:rPr>
                  <w:rStyle w:val="Hyperlink"/>
                </w:rPr>
                <w:t xml:space="preserve">Clinical care standard indicators: antimicrobial stewardship 2020</w:t>
              </w:r>
            </w:hyperlink>
          </w:p>
          <w:p>
            <w:pPr>
              <w:pStyle w:val="registration-status"/>
              <w:spacing w:before="0" w:after="0"/>
            </w:pPr>
            <w:hyperlink w:history="true" r:id="Rcc8b986546b04825">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 prophylactic antimicrobial prior to surgery or a procedure whose antimicrobial is continued following surgery against recommendations in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3eafe0ff102c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25a4eb711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fe0ff102c4474" /><Relationship Type="http://schemas.openxmlformats.org/officeDocument/2006/relationships/header" Target="/word/header1.xml" Id="R1112cad2d5f74bed" /><Relationship Type="http://schemas.openxmlformats.org/officeDocument/2006/relationships/settings" Target="/word/settings.xml" Id="R4f71c4e595744e63" /><Relationship Type="http://schemas.openxmlformats.org/officeDocument/2006/relationships/styles" Target="/word/styles.xml" Id="R8992ab2b5597435c" /><Relationship Type="http://schemas.openxmlformats.org/officeDocument/2006/relationships/hyperlink" Target="https://meteor-uat.aihw.gov.au/RegistrationAuthority/2" TargetMode="External" Id="R2545222344af42fd" /><Relationship Type="http://schemas.openxmlformats.org/officeDocument/2006/relationships/hyperlink" Target="https://meteor-uat.aihw.gov.au/content/736878" TargetMode="External" Id="R1ea274d7932b43cb" /><Relationship Type="http://schemas.openxmlformats.org/officeDocument/2006/relationships/hyperlink" Target="https://meteor-uat.aihw.gov.au/RegistrationAuthority/2" TargetMode="External" Id="Rcc8b986546b04825" /></Relationships>
</file>

<file path=word/_rels/header1.xml.rels>&#65279;<?xml version="1.0" encoding="utf-8"?><Relationships xmlns="http://schemas.openxmlformats.org/package/2006/relationships"><Relationship Type="http://schemas.openxmlformats.org/officeDocument/2006/relationships/image" Target="/media/image.png" Id="Rdb925a4eb71141b3" /></Relationships>
</file>