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d572b039d40bb" /></Relationships>
</file>

<file path=word/document.xml><?xml version="1.0" encoding="utf-8"?>
<w:document xmlns:r="http://schemas.openxmlformats.org/officeDocument/2006/relationships" xmlns:w="http://schemas.openxmlformats.org/wordprocessingml/2006/main">
  <w:body>
    <w:p>
      <w:pPr>
        <w:pStyle w:val="Title"/>
      </w:pPr>
      <w:r>
        <w:t>Antimicrobial stewardship: 8a-The proportion of patients for whom the perioperative prophylactic antimicrobial is prescribed in accordance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8a-The proportion of patients for whom the perioperative prophylactic antimicrobial is prescribed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8a-The proportion of patients for whom the perioperative prophylactic antimicrobial is prescribed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fcb9dc9f44528">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for whom the perioperative prophylactic antimicrobial is prescribed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88fd9231414f90">
              <w:r>
                <w:rPr>
                  <w:rStyle w:val="Hyperlink"/>
                </w:rPr>
                <w:t xml:space="preserve">Clinical care standard indicators: antimicrobial stewardship 2020</w:t>
              </w:r>
            </w:hyperlink>
          </w:p>
          <w:p>
            <w:pPr>
              <w:pStyle w:val="registration-status"/>
              <w:spacing w:before="0" w:after="0"/>
            </w:pPr>
            <w:hyperlink w:history="true" r:id="R0548786138a4426a">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or a procedure for which there are no documented guidelines for the use of prophylactic antimicrobials or where prophylaxis is not indicated due to the patient’s current antimicrobial therapy.</w:t>
            </w:r>
          </w:p>
          <w:p>
            <w:pPr>
              <w:spacing w:after="160"/>
            </w:pPr>
            <w:r>
              <w:rPr>
                <w:rStyle w:val="row-content-rich-text"/>
              </w:rPr>
              <w:t xml:space="preserve">For the numerator, 'in accordance' means that the choice of antimicrobial (active ingredient) aligns with the current </w:t>
            </w:r>
            <w:r>
              <w:rPr>
                <w:rStyle w:val="row-content-rich-text"/>
                <w:i/>
              </w:rPr>
              <w:t xml:space="preserve">Therapeutic Guidelines</w:t>
            </w:r>
            <w:r>
              <w:rPr>
                <w:rStyle w:val="row-content-rich-text"/>
              </w:rPr>
              <w:t xml:space="preserve"> or evidence-based, locally endorsed guidelines, taking into consideration all relevant patient factors (for example, colonisation with a multi-drug resistant organism).</w:t>
            </w:r>
          </w:p>
          <w:p>
            <w:pPr>
              <w:spacing w:after="160"/>
            </w:pPr>
            <w:r>
              <w:rPr>
                <w:rStyle w:val="row-content-rich-text"/>
              </w:rPr>
              <w:t xml:space="preserve">If surgical antimicrobial prophylaxis is not indicated for the surgery or procedure and a prophylactic antimicrobial is not prescribed in accordance with the guidelines, the patient should be included in the numerator.</w:t>
            </w:r>
          </w:p>
          <w:p>
            <w:pPr>
              <w:spacing w:after="160"/>
            </w:pPr>
            <w:r>
              <w:rPr>
                <w:rStyle w:val="row-content-rich-text"/>
              </w:rPr>
              <w:t xml:space="preserve">If the patient undergoing surgery or a procedure receives multiple prophylactic antimicrobials (including topical and other off-label use), then all prophylactic antimicrobials should be in accordance with the guidelines for the patient to be counted in the numerator.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who receive the appropriate antimicrobial prophylaxis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5220e5afeaf5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4f3db8310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0e5afeaf5429b" /><Relationship Type="http://schemas.openxmlformats.org/officeDocument/2006/relationships/header" Target="/word/header1.xml" Id="R8fbb7bdf73d44b31" /><Relationship Type="http://schemas.openxmlformats.org/officeDocument/2006/relationships/settings" Target="/word/settings.xml" Id="R17ed0cfa7e3d4d10" /><Relationship Type="http://schemas.openxmlformats.org/officeDocument/2006/relationships/styles" Target="/word/styles.xml" Id="Rfe4eb53ac9534502" /><Relationship Type="http://schemas.openxmlformats.org/officeDocument/2006/relationships/hyperlink" Target="https://meteor-uat.aihw.gov.au/RegistrationAuthority/2" TargetMode="External" Id="R5a1fcb9dc9f44528" /><Relationship Type="http://schemas.openxmlformats.org/officeDocument/2006/relationships/hyperlink" Target="https://meteor-uat.aihw.gov.au/content/736878" TargetMode="External" Id="R6d88fd9231414f90" /><Relationship Type="http://schemas.openxmlformats.org/officeDocument/2006/relationships/hyperlink" Target="https://meteor-uat.aihw.gov.au/RegistrationAuthority/2" TargetMode="External" Id="R0548786138a4426a" /></Relationships>
</file>

<file path=word/_rels/header1.xml.rels>&#65279;<?xml version="1.0" encoding="utf-8"?><Relationships xmlns="http://schemas.openxmlformats.org/package/2006/relationships"><Relationship Type="http://schemas.openxmlformats.org/officeDocument/2006/relationships/image" Target="/media/image.png" Id="Ra714f3db83104895" /></Relationships>
</file>