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d585e5fb304800" /></Relationships>
</file>

<file path=word/document.xml><?xml version="1.0" encoding="utf-8"?>
<w:document xmlns:r="http://schemas.openxmlformats.org/officeDocument/2006/relationships" xmlns:w="http://schemas.openxmlformats.org/wordprocessingml/2006/main">
  <w:body>
    <w:p>
      <w:pPr>
        <w:pStyle w:val="Title"/>
      </w:pPr>
      <w:r>
        <w:t>Number of lumbar spinal fusion (excluding lumbar spinal decompression) hospitalisations per 100,000 people, aged 18 years and over, 2012-13 to 2014-15 and 2015-16 to 2017-18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lumbar spinal fusion (excluding lumbar spinal decompression) hospitalisations per 100,000 people, aged 18 years and over, 2012-13 to 2014-15 and 2015-16 to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Lumbar spinal fusion (excluding lumbar spinal decompression) hospitalisations, 18 years and over, 2012-13 to 2014-15 and 2015-16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5a986357ff43d3">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lumbar spinal fusion (exlcuding lumbar spinal decompression) hospitalisations per 100,000 people aged 18 years and over, age and sex-standardised.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999ca1ed6c4ba2">
              <w:r>
                <w:rPr>
                  <w:rStyle w:val="Hyperlink"/>
                </w:rPr>
                <w:t xml:space="preserve">Australian Atlas of Healthcare Variation 2021</w:t>
              </w:r>
            </w:hyperlink>
          </w:p>
          <w:p>
            <w:pPr>
              <w:pStyle w:val="registration-status"/>
              <w:spacing w:before="0" w:after="0"/>
            </w:pPr>
            <w:hyperlink w:history="true" r:id="R692807fa0a6f4304">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82979c6d44f45a0">
              <w:r>
                <w:rPr>
                  <w:rStyle w:val="Hyperlink"/>
                </w:rPr>
                <w:t xml:space="preserve">Data quality statement: National Hospital Morbidity Database 2014–15</w:t>
              </w:r>
            </w:hyperlink>
          </w:p>
          <w:p>
            <w:pPr>
              <w:pStyle w:val="registration-status"/>
              <w:spacing w:before="0" w:after="0"/>
            </w:pPr>
            <w:hyperlink w:history="true" r:id="R0319f5eaee8048c2">
              <w:r>
                <w:rPr>
                  <w:rStyle w:val="Hyperlink"/>
                  <w:color w:val="244061"/>
                </w:rPr>
                <w:t xml:space="preserve">AIHW Data Quality Statements</w:t>
              </w:r>
            </w:hyperlink>
            <w:r>
              <w:rPr>
                <w:rStyle w:val="row-content"/>
                <w:color w:val="244061"/>
              </w:rPr>
              <w:t xml:space="preserve">, Standard 31/08/2016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Inclusion codes, description and additional requirement</w:t>
                  </w:r>
                </w:p>
                <w:tbl>
                  <w:tblPr>
                    <w:tblStyle w:val="InnerTable"/>
                    <w:tblW w:w="5000" w:type="pct"/>
                    <w:tblLayout w:type="autofit"/>
                  </w:tblPr>
                  <w:tblGrid>
                    <w:gridCol/>
                    <w:gridCol/>
                    <w:gridCol/>
                  </w:tblGrid>
                  <w:tr>
                    <w:trPr/>
                    <w:tc>
                      <w:tcPr>
                        <w:tcW w:w="750" w:type="pct"/>
                        <w:vAlign w:val="top"/>
                      </w:tcPr>
                      <w:p>
                        <w:pPr/>
                        <w:r>
                          <w:rPr>
                            <w:rStyle w:val="row-content-rich-text"/>
                            <w:b/>
                          </w:rPr>
                          <w:t xml:space="preserve">ICD-10-AM (7th to 10th editions) diagnosis code</w:t>
                        </w:r>
                      </w:p>
                    </w:tc>
                    <w:tc>
                      <w:tcPr>
                        <w:tcW w:w="2500" w:type="pct"/>
                        <w:vAlign w:val="top"/>
                      </w:tcPr>
                      <w:p>
                        <w:r>
                          <w:rPr>
                            <w:b/>
                          </w:rPr>
                          <w:t xml:space="preserve">Description</w:t>
                        </w:r>
                      </w:p>
                    </w:tc>
                    <w:tc>
                      <w:tcPr>
                        <w:tcW w:w="1700" w:type="pct"/>
                        <w:vAlign w:val="top"/>
                      </w:tcPr>
                      <w:p>
                        <w:r>
                          <w:rPr>
                            <w:b/>
                          </w:rPr>
                          <w:t xml:space="preserve">Additional requirement</w:t>
                        </w:r>
                      </w:p>
                    </w:tc>
                  </w:tr>
                  <w:tr>
                    <w:trPr/>
                    <w:tc>
                      <w:tcPr>
                        <w:tcW w:w="750" w:type="pct"/>
                        <w:vAlign w:val="top"/>
                      </w:tcPr>
                      <w:p>
                        <w:r>
                          <w:t xml:space="preserve">M43.16</w:t>
                        </w:r>
                      </w:p>
                    </w:tc>
                    <w:tc>
                      <w:tcPr>
                        <w:tcW w:w="2500" w:type="pct"/>
                        <w:vAlign w:val="top"/>
                      </w:tcPr>
                      <w:p>
                        <w:r>
                          <w:t xml:space="preserve">Spondylolisthesis Lumbar region</w:t>
                        </w:r>
                      </w:p>
                    </w:tc>
                    <w:tc>
                      <w:tcPr>
                        <w:tcW w:w="1700" w:type="pct"/>
                        <w:vAlign w:val="top"/>
                      </w:tcPr>
                      <w:p>
                        <w:r>
                          <w:t xml:space="preserve">Principal diagnosis</w:t>
                        </w:r>
                      </w:p>
                    </w:tc>
                  </w:tr>
                  <w:tr>
                    <w:trPr/>
                    <w:tc>
                      <w:tcPr>
                        <w:tcW w:w="750" w:type="pct"/>
                        <w:vAlign w:val="top"/>
                      </w:tcPr>
                      <w:p>
                        <w:r>
                          <w:t xml:space="preserve">M43.17</w:t>
                        </w:r>
                      </w:p>
                    </w:tc>
                    <w:tc>
                      <w:tcPr>
                        <w:tcW w:w="2500" w:type="pct"/>
                        <w:vAlign w:val="top"/>
                      </w:tcPr>
                      <w:p>
                        <w:r>
                          <w:t xml:space="preserve">Spondylolisthesis Lumbosacral</w:t>
                        </w:r>
                        <w:r>
                          <w:br/>
                        </w:r>
                        <w:r>
                          <w:t xml:space="preserve">region</w:t>
                        </w:r>
                      </w:p>
                    </w:tc>
                    <w:tc>
                      <w:tcPr>
                        <w:tcW w:w="1700" w:type="pct"/>
                        <w:vAlign w:val="top"/>
                      </w:tcPr>
                      <w:p>
                        <w:r>
                          <w:t xml:space="preserve">Principal diagnosis</w:t>
                        </w:r>
                      </w:p>
                    </w:tc>
                  </w:tr>
                  <w:tr>
                    <w:trPr/>
                    <w:tc>
                      <w:tcPr>
                        <w:tcW w:w="750" w:type="pct"/>
                        <w:vAlign w:val="top"/>
                      </w:tcPr>
                      <w:p>
                        <w:r>
                          <w:t xml:space="preserve">M48.06</w:t>
                        </w:r>
                      </w:p>
                    </w:tc>
                    <w:tc>
                      <w:tcPr>
                        <w:tcW w:w="2500" w:type="pct"/>
                        <w:vAlign w:val="top"/>
                      </w:tcPr>
                      <w:p>
                        <w:r>
                          <w:t xml:space="preserve">Spinal stenosis Lumbar region</w:t>
                        </w:r>
                      </w:p>
                    </w:tc>
                    <w:tc>
                      <w:tcPr>
                        <w:tcW w:w="1700" w:type="pct"/>
                        <w:vAlign w:val="top"/>
                      </w:tcPr>
                      <w:p>
                        <w:r>
                          <w:t xml:space="preserve">Principal diagnosis</w:t>
                        </w:r>
                      </w:p>
                    </w:tc>
                  </w:tr>
                  <w:tr>
                    <w:trPr/>
                    <w:tc>
                      <w:tcPr>
                        <w:tcW w:w="750" w:type="pct"/>
                        <w:vAlign w:val="top"/>
                      </w:tcPr>
                      <w:p>
                        <w:r>
                          <w:t xml:space="preserve">M48.07</w:t>
                        </w:r>
                      </w:p>
                    </w:tc>
                    <w:tc>
                      <w:tcPr>
                        <w:tcW w:w="2500" w:type="pct"/>
                        <w:vAlign w:val="top"/>
                      </w:tcPr>
                      <w:p>
                        <w:r>
                          <w:t xml:space="preserve">Spinal stenosis Lumbosacral region</w:t>
                        </w:r>
                      </w:p>
                    </w:tc>
                    <w:tc>
                      <w:tcPr>
                        <w:tcW w:w="1700" w:type="pct"/>
                        <w:vAlign w:val="top"/>
                      </w:tcPr>
                      <w:p>
                        <w:r>
                          <w:t xml:space="preserve">Principal diagnosis</w:t>
                        </w:r>
                      </w:p>
                    </w:tc>
                  </w:tr>
                  <w:tr>
                    <w:trPr/>
                    <w:tc>
                      <w:tcPr>
                        <w:tcW w:w="750" w:type="pct"/>
                        <w:vAlign w:val="top"/>
                      </w:tcPr>
                      <w:p>
                        <w:r>
                          <w:t xml:space="preserve">M51.0</w:t>
                        </w:r>
                      </w:p>
                    </w:tc>
                    <w:tc>
                      <w:tcPr>
                        <w:tcW w:w="2500" w:type="pct"/>
                        <w:vAlign w:val="top"/>
                      </w:tcPr>
                      <w:p>
                        <w:r>
                          <w:t xml:space="preserve">Lumbar and other intervertebral disc disorders with myelopathy</w:t>
                        </w:r>
                      </w:p>
                    </w:tc>
                    <w:tc>
                      <w:tcPr>
                        <w:tcW w:w="1700" w:type="pct"/>
                        <w:vAlign w:val="top"/>
                      </w:tcPr>
                      <w:p>
                        <w:r>
                          <w:t xml:space="preserve">Principal diagnosis</w:t>
                        </w:r>
                      </w:p>
                    </w:tc>
                  </w:tr>
                  <w:tr>
                    <w:trPr/>
                    <w:tc>
                      <w:tcPr>
                        <w:tcW w:w="750" w:type="pct"/>
                        <w:vAlign w:val="top"/>
                      </w:tcPr>
                      <w:p>
                        <w:r>
                          <w:t xml:space="preserve">M51.1</w:t>
                        </w:r>
                      </w:p>
                    </w:tc>
                    <w:tc>
                      <w:tcPr>
                        <w:tcW w:w="2500" w:type="pct"/>
                        <w:vAlign w:val="top"/>
                      </w:tcPr>
                      <w:p>
                        <w:r>
                          <w:t xml:space="preserve">Lumbar and other intervertebral disc</w:t>
                        </w:r>
                        <w:r>
                          <w:br/>
                        </w:r>
                        <w:r>
                          <w:t xml:space="preserve">disorders with radiculopathy</w:t>
                        </w:r>
                      </w:p>
                    </w:tc>
                    <w:tc>
                      <w:tcPr>
                        <w:tcW w:w="1700" w:type="pct"/>
                        <w:vAlign w:val="top"/>
                      </w:tcPr>
                      <w:p>
                        <w:r>
                          <w:t xml:space="preserve">Principal diagnosis</w:t>
                        </w:r>
                      </w:p>
                    </w:tc>
                  </w:tr>
                  <w:tr>
                    <w:trPr/>
                    <w:tc>
                      <w:tcPr>
                        <w:tcW w:w="750" w:type="pct"/>
                        <w:vAlign w:val="top"/>
                      </w:tcPr>
                      <w:p>
                        <w:r>
                          <w:t xml:space="preserve">M51.2</w:t>
                        </w:r>
                      </w:p>
                    </w:tc>
                    <w:tc>
                      <w:tcPr>
                        <w:tcW w:w="2500" w:type="pct"/>
                        <w:vAlign w:val="top"/>
                      </w:tcPr>
                      <w:p>
                        <w:r>
                          <w:t xml:space="preserve">Other specified intervertebral disc </w:t>
                        </w:r>
                        <w:r>
                          <w:br/>
                        </w:r>
                        <w:r>
                          <w:t xml:space="preserve">displacement</w:t>
                        </w:r>
                      </w:p>
                    </w:tc>
                    <w:tc>
                      <w:tcPr>
                        <w:tcW w:w="1700" w:type="pct"/>
                        <w:vAlign w:val="top"/>
                      </w:tcPr>
                      <w:p>
                        <w:r>
                          <w:t xml:space="preserve">Principal diagnosis</w:t>
                        </w:r>
                      </w:p>
                    </w:tc>
                  </w:tr>
                  <w:tr>
                    <w:trPr/>
                    <w:tc>
                      <w:tcPr>
                        <w:tcW w:w="750" w:type="pct"/>
                        <w:vAlign w:val="top"/>
                      </w:tcPr>
                      <w:p>
                        <w:r>
                          <w:t xml:space="preserve">M54.16</w:t>
                        </w:r>
                      </w:p>
                    </w:tc>
                    <w:tc>
                      <w:tcPr>
                        <w:tcW w:w="2500" w:type="pct"/>
                        <w:vAlign w:val="top"/>
                      </w:tcPr>
                      <w:p>
                        <w:r>
                          <w:t xml:space="preserve">Radiculopathy Lumbar region</w:t>
                        </w:r>
                      </w:p>
                    </w:tc>
                    <w:tc>
                      <w:tcPr>
                        <w:tcW w:w="1700" w:type="pct"/>
                        <w:vAlign w:val="top"/>
                      </w:tcPr>
                      <w:p>
                        <w:r>
                          <w:t xml:space="preserve">Principal diagnosis</w:t>
                        </w:r>
                      </w:p>
                    </w:tc>
                  </w:tr>
                  <w:tr>
                    <w:trPr/>
                    <w:tc>
                      <w:tcPr>
                        <w:tcW w:w="750" w:type="pct"/>
                        <w:vAlign w:val="top"/>
                      </w:tcPr>
                      <w:p>
                        <w:r>
                          <w:t xml:space="preserve">M54.17</w:t>
                        </w:r>
                      </w:p>
                    </w:tc>
                    <w:tc>
                      <w:tcPr>
                        <w:tcW w:w="2500" w:type="pct"/>
                        <w:vAlign w:val="top"/>
                      </w:tcPr>
                      <w:p>
                        <w:r>
                          <w:t xml:space="preserve">Radiculopathy Lumbosacral region</w:t>
                        </w:r>
                      </w:p>
                    </w:tc>
                    <w:tc>
                      <w:tcPr>
                        <w:tcW w:w="1700" w:type="pct"/>
                        <w:vAlign w:val="top"/>
                      </w:tcPr>
                      <w:p>
                        <w:r>
                          <w:t xml:space="preserve">Principal diagnosis</w:t>
                        </w:r>
                      </w:p>
                    </w:tc>
                  </w:tr>
                  <w:tr>
                    <w:trPr/>
                    <w:tc>
                      <w:tcPr>
                        <w:tcW w:w="750" w:type="pct"/>
                        <w:vAlign w:val="top"/>
                      </w:tcPr>
                      <w:p>
                        <w:r>
                          <w:t xml:space="preserve">M54.4</w:t>
                        </w:r>
                      </w:p>
                    </w:tc>
                    <w:tc>
                      <w:tcPr>
                        <w:tcW w:w="2500" w:type="pct"/>
                        <w:vAlign w:val="top"/>
                      </w:tcPr>
                      <w:p>
                        <w:r>
                          <w:t xml:space="preserve">Lumbago with sciatica</w:t>
                        </w:r>
                      </w:p>
                    </w:tc>
                    <w:tc>
                      <w:tcPr>
                        <w:tcW w:w="1700" w:type="pct"/>
                        <w:vAlign w:val="top"/>
                      </w:tcPr>
                      <w:p>
                        <w:r>
                          <w:t xml:space="preserve">Principal diagnosis</w:t>
                        </w:r>
                      </w:p>
                    </w:tc>
                  </w:tr>
                  <w:tr>
                    <w:trPr/>
                    <w:tc>
                      <w:tcPr>
                        <w:tcW w:w="750" w:type="pct"/>
                        <w:vAlign w:val="top"/>
                      </w:tcPr>
                      <w:p>
                        <w:r>
                          <w:t xml:space="preserve">M54.5</w:t>
                        </w:r>
                      </w:p>
                    </w:tc>
                    <w:tc>
                      <w:tcPr>
                        <w:tcW w:w="2500" w:type="pct"/>
                        <w:vAlign w:val="top"/>
                      </w:tcPr>
                      <w:p>
                        <w:r>
                          <w:t xml:space="preserve">Low back pain</w:t>
                        </w:r>
                      </w:p>
                    </w:tc>
                    <w:tc>
                      <w:tcPr>
                        <w:tcW w:w="1700" w:type="pct"/>
                        <w:vAlign w:val="top"/>
                      </w:tcPr>
                      <w:p>
                        <w:r>
                          <w:t xml:space="preserve">Principal diagnosis</w:t>
                        </w:r>
                      </w:p>
                    </w:tc>
                  </w:tr>
                  <w:tr>
                    <w:trPr/>
                    <w:tc>
                      <w:tcPr>
                        <w:tcW w:w="750" w:type="pct"/>
                        <w:vAlign w:val="top"/>
                      </w:tcPr>
                      <w:p>
                        <w:r>
                          <w:t xml:space="preserve">M54.86</w:t>
                        </w:r>
                      </w:p>
                    </w:tc>
                    <w:tc>
                      <w:tcPr>
                        <w:tcW w:w="2500" w:type="pct"/>
                        <w:vAlign w:val="top"/>
                      </w:tcPr>
                      <w:p>
                        <w:r>
                          <w:t xml:space="preserve">Other dorsalgia Lumbar region</w:t>
                        </w:r>
                      </w:p>
                    </w:tc>
                    <w:tc>
                      <w:tcPr>
                        <w:tcW w:w="1700" w:type="pct"/>
                        <w:vAlign w:val="top"/>
                      </w:tcPr>
                      <w:p>
                        <w:r>
                          <w:t xml:space="preserve">Principal diagnosis</w:t>
                        </w:r>
                      </w:p>
                    </w:tc>
                  </w:tr>
                  <w:tr>
                    <w:trPr/>
                    <w:tc>
                      <w:tcPr>
                        <w:tcW w:w="750" w:type="pct"/>
                        <w:vAlign w:val="top"/>
                      </w:tcPr>
                      <w:p>
                        <w:r>
                          <w:t xml:space="preserve">M54.87</w:t>
                        </w:r>
                      </w:p>
                    </w:tc>
                    <w:tc>
                      <w:tcPr>
                        <w:tcW w:w="2500" w:type="pct"/>
                        <w:vAlign w:val="top"/>
                      </w:tcPr>
                      <w:p>
                        <w:r>
                          <w:t xml:space="preserve">Other dorsalgia Lumbosacral region</w:t>
                        </w:r>
                      </w:p>
                    </w:tc>
                    <w:tc>
                      <w:tcPr>
                        <w:tcW w:w="1700" w:type="pct"/>
                        <w:vAlign w:val="top"/>
                      </w:tcPr>
                      <w:p>
                        <w:r>
                          <w:t xml:space="preserve">Principal diagnosis</w:t>
                        </w:r>
                      </w:p>
                    </w:tc>
                  </w:tr>
                  <w:tr>
                    <w:trPr/>
                    <w:tc>
                      <w:tcPr>
                        <w:tcW w:w="750" w:type="pct"/>
                        <w:vAlign w:val="top"/>
                      </w:tcPr>
                      <w:p>
                        <w:r>
                          <w:t xml:space="preserve">M54.96</w:t>
                        </w:r>
                      </w:p>
                    </w:tc>
                    <w:tc>
                      <w:tcPr>
                        <w:tcW w:w="2500" w:type="pct"/>
                        <w:vAlign w:val="top"/>
                      </w:tcPr>
                      <w:p>
                        <w:r>
                          <w:t xml:space="preserve">Dorsalgia, unspecified Lumbar</w:t>
                        </w:r>
                        <w:r>
                          <w:br/>
                        </w:r>
                        <w:r>
                          <w:t xml:space="preserve">region</w:t>
                        </w:r>
                      </w:p>
                    </w:tc>
                    <w:tc>
                      <w:tcPr>
                        <w:tcW w:w="1700" w:type="pct"/>
                        <w:vAlign w:val="top"/>
                      </w:tcPr>
                      <w:p>
                        <w:r>
                          <w:t xml:space="preserve">Principal diagnosis</w:t>
                        </w:r>
                      </w:p>
                    </w:tc>
                  </w:tr>
                  <w:tr>
                    <w:trPr/>
                    <w:tc>
                      <w:tcPr>
                        <w:tcW w:w="750" w:type="pct"/>
                        <w:vAlign w:val="top"/>
                      </w:tcPr>
                      <w:p>
                        <w:r>
                          <w:t xml:space="preserve">M54.97</w:t>
                        </w:r>
                      </w:p>
                    </w:tc>
                    <w:tc>
                      <w:tcPr>
                        <w:tcW w:w="2500" w:type="pct"/>
                        <w:vAlign w:val="top"/>
                      </w:tcPr>
                      <w:p>
                        <w:r>
                          <w:t xml:space="preserve">Dorsalgia, unspecified Lumbosacral region</w:t>
                        </w:r>
                      </w:p>
                    </w:tc>
                    <w:tc>
                      <w:tcPr>
                        <w:tcW w:w="1700" w:type="pct"/>
                        <w:vAlign w:val="top"/>
                      </w:tcPr>
                      <w:p>
                        <w:r>
                          <w:t xml:space="preserve">Principal diagnosis</w:t>
                        </w:r>
                      </w:p>
                    </w:tc>
                  </w:tr>
                </w:tbl>
                <w:p>
                  <w:r>
                    <w:rPr>
                      <w:b/>
                    </w:rPr>
                    <w:t xml:space="preserve">Inclusion codes, description and additional requirement</w:t>
                  </w:r>
                </w:p>
                <w:tbl>
                  <w:tblPr>
                    <w:tblStyle w:val="InnerTable"/>
                    <w:tblW w:w="5000" w:type="pct"/>
                    <w:tblLayout w:type="autofit"/>
                  </w:tblPr>
                  <w:tblGrid>
                    <w:gridCol/>
                    <w:gridCol/>
                    <w:gridCol/>
                  </w:tblGrid>
                  <w:tr>
                    <w:trPr/>
                    <w:tc>
                      <w:tcPr>
                        <w:tcW w:w="700" w:type="pct"/>
                        <w:vAlign w:val="top"/>
                      </w:tcPr>
                      <w:p>
                        <w:r>
                          <w:rPr>
                            <w:b/>
                          </w:rPr>
                          <w:t xml:space="preserve">ACHI (7th to</w:t>
                        </w:r>
                        <w:r>
                          <w:br/>
                        </w:r>
                        <w:r>
                          <w:rPr>
                            <w:b/>
                          </w:rPr>
                          <w:t xml:space="preserve">10th  editions)</w:t>
                        </w:r>
                        <w:r>
                          <w:br/>
                        </w:r>
                        <w:r>
                          <w:rPr>
                            <w:b/>
                          </w:rPr>
                          <w:t xml:space="preserve">procedure code.</w:t>
                        </w:r>
                      </w:p>
                    </w:tc>
                    <w:tc>
                      <w:tcPr>
                        <w:tcW w:w="1750" w:type="pct"/>
                        <w:vAlign w:val="top"/>
                      </w:tcPr>
                      <w:p>
                        <w:r>
                          <w:rPr>
                            <w:b/>
                          </w:rPr>
                          <w:t xml:space="preserve">Description</w:t>
                        </w:r>
                      </w:p>
                    </w:tc>
                    <w:tc>
                      <w:tcPr>
                        <w:tcW w:w="2500" w:type="pct"/>
                        <w:vAlign w:val="top"/>
                      </w:tcPr>
                      <w:p>
                        <w:r>
                          <w:rPr>
                            <w:b/>
                          </w:rPr>
                          <w:t xml:space="preserve">Additional requirement</w:t>
                        </w:r>
                      </w:p>
                    </w:tc>
                  </w:tr>
                  <w:tr>
                    <w:trPr/>
                    <w:tc>
                      <w:tcPr>
                        <w:tcW w:w="700" w:type="pct"/>
                        <w:vAlign w:val="top"/>
                      </w:tcPr>
                      <w:p>
                        <w:r>
                          <w:t xml:space="preserve">40351-00 [47]</w:t>
                        </w:r>
                      </w:p>
                    </w:tc>
                    <w:tc>
                      <w:tcPr>
                        <w:tcW w:w="1750" w:type="pct"/>
                        <w:vAlign w:val="top"/>
                      </w:tcPr>
                      <w:p>
                        <w:r>
                          <w:t xml:space="preserve">Anterior decompression of thoracolumbar spinal cord</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48660-00 [1389]</w:t>
                        </w:r>
                      </w:p>
                    </w:tc>
                    <w:tc>
                      <w:tcPr>
                        <w:tcW w:w="1750" w:type="pct"/>
                        <w:vAlign w:val="top"/>
                      </w:tcPr>
                      <w:p>
                        <w:r>
                          <w:t xml:space="preserve">Anterior spinal fusion, 1 level</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48669-00 [1389]</w:t>
                        </w:r>
                      </w:p>
                    </w:tc>
                    <w:tc>
                      <w:tcPr>
                        <w:tcW w:w="1750" w:type="pct"/>
                        <w:vAlign w:val="top"/>
                      </w:tcPr>
                      <w:p>
                        <w:r>
                          <w:t xml:space="preserve">Anterior spinal fusion, &gt;=2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48642-00 [1389]</w:t>
                        </w:r>
                      </w:p>
                    </w:tc>
                    <w:tc>
                      <w:tcPr>
                        <w:tcW w:w="1750" w:type="pct"/>
                        <w:vAlign w:val="top"/>
                      </w:tcPr>
                      <w:p>
                        <w:r>
                          <w:t xml:space="preserve">Posterior spinal fusion, 1 or 2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48645-00 [1389]</w:t>
                        </w:r>
                      </w:p>
                    </w:tc>
                    <w:tc>
                      <w:tcPr>
                        <w:tcW w:w="1750" w:type="pct"/>
                        <w:vAlign w:val="top"/>
                      </w:tcPr>
                      <w:p>
                        <w:r>
                          <w:t xml:space="preserve">Posterior spinal fusion, &gt;=3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48648-00 [1389]</w:t>
                        </w:r>
                      </w:p>
                    </w:tc>
                    <w:tc>
                      <w:tcPr>
                        <w:tcW w:w="1750" w:type="pct"/>
                        <w:vAlign w:val="top"/>
                      </w:tcPr>
                      <w:p>
                        <w:r>
                          <w:t xml:space="preserve">Posterolateral spinal fusion, 1 or 2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48651-00 [1389]</w:t>
                        </w:r>
                      </w:p>
                    </w:tc>
                    <w:tc>
                      <w:tcPr>
                        <w:tcW w:w="1750" w:type="pct"/>
                        <w:vAlign w:val="top"/>
                      </w:tcPr>
                      <w:p>
                        <w:r>
                          <w:t xml:space="preserve">Posterolateral spinal fusion, &gt;=3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48654-00 [1389]</w:t>
                        </w:r>
                      </w:p>
                    </w:tc>
                    <w:tc>
                      <w:tcPr>
                        <w:tcW w:w="1750" w:type="pct"/>
                        <w:vAlign w:val="top"/>
                      </w:tcPr>
                      <w:p>
                        <w:r>
                          <w:t xml:space="preserve">Posterior spinal fusion with laminectomy, 1 level</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48657-00 [1389]</w:t>
                        </w:r>
                      </w:p>
                    </w:tc>
                    <w:tc>
                      <w:tcPr>
                        <w:tcW w:w="1750" w:type="pct"/>
                        <w:vAlign w:val="top"/>
                      </w:tcPr>
                      <w:p>
                        <w:r>
                          <w:t xml:space="preserve">Posterior spinal fusion with laminectomy, &gt;=2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48654-01 [1389]</w:t>
                        </w:r>
                      </w:p>
                    </w:tc>
                    <w:tc>
                      <w:tcPr>
                        <w:tcW w:w="1750" w:type="pct"/>
                        <w:vAlign w:val="top"/>
                      </w:tcPr>
                      <w:p>
                        <w:r>
                          <w:t xml:space="preserve">Posterolateral spinal fusion with laminectomy, 1 level</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48657-01 [1389]</w:t>
                        </w:r>
                      </w:p>
                    </w:tc>
                    <w:tc>
                      <w:tcPr>
                        <w:tcW w:w="1750" w:type="pct"/>
                        <w:vAlign w:val="top"/>
                      </w:tcPr>
                      <w:p>
                        <w:r>
                          <w:t xml:space="preserve">Posterolateral spinal fusion with laminectomy, &gt;=2 levels</w:t>
                        </w:r>
                      </w:p>
                    </w:tc>
                    <w:tc>
                      <w:tcPr>
                        <w:tcW w:w="2500" w:type="pct"/>
                        <w:vAlign w:val="top"/>
                      </w:tcPr>
                      <w:p>
                        <w:r>
                          <w:t xml:space="preserve">Include records with at least one of the listed procedures. A record with more than one of the listed procedures is only counted once.</w:t>
                        </w:r>
                      </w:p>
                    </w:tc>
                  </w:tr>
                </w:tbl>
                <w:p>
                  <w:r>
                    <w:rPr>
                      <w:b/>
                    </w:rPr>
                    <w:t xml:space="preserve">Exclusion codes, description and additional requirement</w:t>
                  </w:r>
                </w:p>
                <w:tbl>
                  <w:tblPr>
                    <w:tblStyle w:val="InnerTable"/>
                    <w:tblW w:w="5000" w:type="pct"/>
                    <w:tblLayout w:type="autofit"/>
                  </w:tblPr>
                  <w:tblGrid>
                    <w:gridCol/>
                    <w:gridCol/>
                    <w:gridCol/>
                  </w:tblGrid>
                  <w:tr>
                    <w:trPr/>
                    <w:tc>
                      <w:tcPr>
                        <w:tcW w:w="900" w:type="pct"/>
                        <w:vAlign w:val="top"/>
                      </w:tcPr>
                      <w:p>
                        <w:r>
                          <w:rPr>
                            <w:b/>
                          </w:rPr>
                          <w:t xml:space="preserve">ICD-10-AM  (7th to 10th editions) diagnosis code</w:t>
                        </w:r>
                      </w:p>
                    </w:tc>
                    <w:tc>
                      <w:tcPr>
                        <w:tcW w:w="1550" w:type="pct"/>
                        <w:vAlign w:val="top"/>
                      </w:tcPr>
                      <w:p>
                        <w:r>
                          <w:rPr>
                            <w:b/>
                          </w:rPr>
                          <w:t xml:space="preserve">Description</w:t>
                        </w:r>
                      </w:p>
                    </w:tc>
                    <w:tc>
                      <w:tcPr>
                        <w:tcW w:w="2500" w:type="pct"/>
                        <w:vAlign w:val="top"/>
                      </w:tcPr>
                      <w:p>
                        <w:r>
                          <w:rPr>
                            <w:b/>
                          </w:rPr>
                          <w:t xml:space="preserve">Additional requirement</w:t>
                        </w:r>
                      </w:p>
                    </w:tc>
                  </w:tr>
                  <w:tr>
                    <w:trPr/>
                    <w:tc>
                      <w:tcPr>
                        <w:tcW w:w="900" w:type="pct"/>
                        <w:vAlign w:val="top"/>
                      </w:tcPr>
                      <w:p>
                        <w:r>
                          <w:t xml:space="preserve">A00-B99</w:t>
                        </w:r>
                      </w:p>
                    </w:tc>
                    <w:tc>
                      <w:tcPr>
                        <w:tcW w:w="1550" w:type="pct"/>
                        <w:vAlign w:val="top"/>
                      </w:tcPr>
                      <w:p>
                        <w:r>
                          <w:t xml:space="preserve">Certain infectious and parasitic diseases</w:t>
                        </w:r>
                      </w:p>
                    </w:tc>
                    <w:tc>
                      <w:tcPr>
                        <w:tcW w:w="2500" w:type="pct"/>
                        <w:vAlign w:val="top"/>
                      </w:tcPr>
                      <w:p>
                        <w:r>
                          <w:t xml:space="preserve">Value of the condition onset flag is 2 (Condition not noted as arising during the episode of admitted patient care)</w:t>
                        </w:r>
                      </w:p>
                    </w:tc>
                  </w:tr>
                  <w:tr>
                    <w:trPr/>
                    <w:tc>
                      <w:tcPr>
                        <w:tcW w:w="900" w:type="pct"/>
                        <w:vAlign w:val="top"/>
                      </w:tcPr>
                      <w:p>
                        <w:r>
                          <w:t xml:space="preserve">C00-D48</w:t>
                        </w:r>
                      </w:p>
                    </w:tc>
                    <w:tc>
                      <w:tcPr>
                        <w:tcW w:w="1550" w:type="pct"/>
                        <w:vAlign w:val="top"/>
                      </w:tcPr>
                      <w:p>
                        <w:r>
                          <w:t xml:space="preserve">Neoplasms</w:t>
                        </w:r>
                      </w:p>
                    </w:tc>
                    <w:tc>
                      <w:tcPr>
                        <w:tcW w:w="2500" w:type="pct"/>
                        <w:vAlign w:val="top"/>
                      </w:tcPr>
                      <w:p>
                        <w:r>
                          <w:t xml:space="preserve">Value of the condition onset flag is 2 (Condition not noted as arising during the episode of admitted patient care)</w:t>
                        </w:r>
                      </w:p>
                    </w:tc>
                  </w:tr>
                  <w:tr>
                    <w:trPr/>
                    <w:tc>
                      <w:tcPr>
                        <w:tcW w:w="900" w:type="pct"/>
                        <w:vAlign w:val="top"/>
                      </w:tcPr>
                      <w:p>
                        <w:r>
                          <w:t xml:space="preserve">M40</w:t>
                        </w:r>
                      </w:p>
                    </w:tc>
                    <w:tc>
                      <w:tcPr>
                        <w:tcW w:w="1550" w:type="pct"/>
                        <w:vAlign w:val="top"/>
                      </w:tcPr>
                      <w:p>
                        <w:r>
                          <w:t xml:space="preserve">Kyphosis and lordosis</w:t>
                        </w:r>
                      </w:p>
                    </w:tc>
                    <w:tc>
                      <w:tcPr>
                        <w:tcW w:w="2500" w:type="pct"/>
                        <w:vAlign w:val="top"/>
                      </w:tcPr>
                      <w:p>
                        <w:r>
                          <w:t xml:space="preserve">Value of the condition onset flag is 2 (Condition not noted as arising during the episode of admitted patient care)</w:t>
                        </w:r>
                      </w:p>
                    </w:tc>
                  </w:tr>
                  <w:tr>
                    <w:trPr/>
                    <w:tc>
                      <w:tcPr>
                        <w:tcW w:w="900" w:type="pct"/>
                        <w:vAlign w:val="top"/>
                      </w:tcPr>
                      <w:p>
                        <w:r>
                          <w:t xml:space="preserve">M41</w:t>
                        </w:r>
                      </w:p>
                    </w:tc>
                    <w:tc>
                      <w:tcPr>
                        <w:tcW w:w="1550" w:type="pct"/>
                        <w:vAlign w:val="top"/>
                      </w:tcPr>
                      <w:p>
                        <w:r>
                          <w:t xml:space="preserve">Scoliosis</w:t>
                        </w:r>
                      </w:p>
                    </w:tc>
                    <w:tc>
                      <w:tcPr>
                        <w:tcW w:w="2500" w:type="pct"/>
                        <w:vAlign w:val="top"/>
                      </w:tcPr>
                      <w:p>
                        <w:r>
                          <w:t xml:space="preserve">Value of the condition onset flag is 2 (Condition not noted as arising during the episode of admitted patient care)</w:t>
                        </w:r>
                      </w:p>
                    </w:tc>
                  </w:tr>
                  <w:tr>
                    <w:trPr/>
                    <w:tc>
                      <w:tcPr>
                        <w:tcW w:w="900" w:type="pct"/>
                        <w:vAlign w:val="top"/>
                      </w:tcPr>
                      <w:p>
                        <w:r>
                          <w:t xml:space="preserve">V00-Y89</w:t>
                        </w:r>
                      </w:p>
                    </w:tc>
                    <w:tc>
                      <w:tcPr>
                        <w:tcW w:w="1550" w:type="pct"/>
                        <w:vAlign w:val="top"/>
                      </w:tcPr>
                      <w:p>
                        <w:r>
                          <w:t xml:space="preserve">External causes of morbidity and mortality</w:t>
                        </w:r>
                      </w:p>
                    </w:tc>
                    <w:tc>
                      <w:tcPr>
                        <w:tcW w:w="2500" w:type="pct"/>
                        <w:vAlign w:val="top"/>
                      </w:tcPr>
                      <w:p>
                        <w:r>
                          <w:t xml:space="preserve">Value of the condition onset flag is 2 (Condition not noted as arising during the episode of admitted patient care)</w:t>
                        </w:r>
                      </w:p>
                    </w:tc>
                  </w:tr>
                </w:tbl>
                <w:p>
                  <w:r>
                    <w:rPr>
                      <w:b/>
                    </w:rPr>
                    <w:t xml:space="preserve">Exclusion codes and description</w:t>
                  </w:r>
                </w:p>
                <w:tbl>
                  <w:tblPr>
                    <w:tblStyle w:val="InnerTable"/>
                    <w:tblW w:w="5000" w:type="pct"/>
                    <w:tblLayout w:type="autofit"/>
                  </w:tblPr>
                  <w:tblGrid>
                    <w:gridCol/>
                    <w:gridCol/>
                  </w:tblGrid>
                  <w:tr>
                    <w:trPr/>
                    <w:tc>
                      <w:tcPr>
                        <w:tcW w:w="1650" w:type="pct"/>
                        <w:vAlign w:val="top"/>
                      </w:tcPr>
                      <w:p>
                        <w:r>
                          <w:rPr>
                            <w:b/>
                          </w:rPr>
                          <w:t xml:space="preserve">ACHI (7th to 10th editions) procedure code</w:t>
                        </w:r>
                      </w:p>
                    </w:tc>
                    <w:tc>
                      <w:tcPr>
                        <w:tcW w:w="3300" w:type="pct"/>
                        <w:vAlign w:val="top"/>
                      </w:tcPr>
                      <w:p>
                        <w:r>
                          <w:rPr>
                            <w:b/>
                          </w:rPr>
                          <w:t xml:space="preserve">Description</w:t>
                        </w:r>
                      </w:p>
                    </w:tc>
                  </w:tr>
                  <w:tr>
                    <w:trPr/>
                    <w:tc>
                      <w:tcPr>
                        <w:tcW w:w="1650" w:type="pct"/>
                        <w:vAlign w:val="top"/>
                      </w:tcPr>
                      <w:p>
                        <w:r>
                          <w:t xml:space="preserve">90024-00 [48]</w:t>
                        </w:r>
                      </w:p>
                    </w:tc>
                    <w:tc>
                      <w:tcPr>
                        <w:tcW w:w="3300" w:type="pct"/>
                        <w:vAlign w:val="top"/>
                      </w:tcPr>
                      <w:p>
                        <w:r>
                          <w:t xml:space="preserve">Decompression of lumbar spinal canal, 1 level</w:t>
                        </w:r>
                      </w:p>
                    </w:tc>
                  </w:tr>
                  <w:tr>
                    <w:trPr/>
                    <w:tc>
                      <w:tcPr>
                        <w:tcW w:w="1650" w:type="pct"/>
                        <w:vAlign w:val="top"/>
                      </w:tcPr>
                      <w:p>
                        <w:r>
                          <w:t xml:space="preserve">90024-01 [48]</w:t>
                        </w:r>
                      </w:p>
                    </w:tc>
                    <w:tc>
                      <w:tcPr>
                        <w:tcW w:w="3300" w:type="pct"/>
                        <w:vAlign w:val="top"/>
                      </w:tcPr>
                      <w:p>
                        <w:r>
                          <w:t xml:space="preserve">Decompression of lumbar spinal canal, &gt;=2 levels</w:t>
                        </w:r>
                      </w:p>
                    </w:tc>
                  </w:tr>
                  <w:tr>
                    <w:trPr/>
                    <w:tc>
                      <w:tcPr>
                        <w:tcW w:w="1650" w:type="pct"/>
                        <w:vAlign w:val="top"/>
                      </w:tcPr>
                      <w:p>
                        <w:r>
                          <w:t xml:space="preserve">40330-00 [49]</w:t>
                        </w:r>
                      </w:p>
                    </w:tc>
                    <w:tc>
                      <w:tcPr>
                        <w:tcW w:w="3300" w:type="pct"/>
                        <w:vAlign w:val="top"/>
                      </w:tcPr>
                      <w:p>
                        <w:r>
                          <w:t xml:space="preserve">Spinal rhizolysis</w:t>
                        </w:r>
                      </w:p>
                    </w:tc>
                  </w:tr>
                  <w:tr>
                    <w:trPr/>
                    <w:tc>
                      <w:tcPr>
                        <w:tcW w:w="1650" w:type="pct"/>
                        <w:vAlign w:val="top"/>
                      </w:tcPr>
                      <w:p>
                        <w:r>
                          <w:t xml:space="preserve">40303-00 [51]</w:t>
                        </w:r>
                      </w:p>
                    </w:tc>
                    <w:tc>
                      <w:tcPr>
                        <w:tcW w:w="3300" w:type="pct"/>
                        <w:vAlign w:val="top"/>
                      </w:tcPr>
                      <w:p>
                        <w:r>
                          <w:t xml:space="preserve">Discectomy for recurrent disc lesion, 1 level</w:t>
                        </w:r>
                      </w:p>
                    </w:tc>
                  </w:tr>
                  <w:tr>
                    <w:trPr/>
                    <w:tc>
                      <w:tcPr>
                        <w:tcW w:w="1650" w:type="pct"/>
                        <w:vAlign w:val="top"/>
                      </w:tcPr>
                      <w:p>
                        <w:r>
                          <w:t xml:space="preserve">40303-01 [51]</w:t>
                        </w:r>
                      </w:p>
                    </w:tc>
                    <w:tc>
                      <w:tcPr>
                        <w:tcW w:w="3300" w:type="pct"/>
                        <w:vAlign w:val="top"/>
                      </w:tcPr>
                      <w:p>
                        <w:r>
                          <w:t xml:space="preserve">Discectomy for recurrent disc lesion, 2 levels</w:t>
                        </w:r>
                      </w:p>
                    </w:tc>
                  </w:tr>
                  <w:tr>
                    <w:trPr/>
                    <w:tc>
                      <w:tcPr>
                        <w:tcW w:w="1650" w:type="pct"/>
                        <w:vAlign w:val="top"/>
                      </w:tcPr>
                      <w:p>
                        <w:r>
                          <w:t xml:space="preserve">48636-00 [52]</w:t>
                        </w:r>
                      </w:p>
                    </w:tc>
                    <w:tc>
                      <w:tcPr>
                        <w:tcW w:w="3300" w:type="pct"/>
                        <w:vAlign w:val="top"/>
                      </w:tcPr>
                      <w:p>
                        <w:r>
                          <w:t xml:space="preserve">Percutaneous lumbar discectomy</w:t>
                        </w:r>
                      </w:p>
                    </w:tc>
                  </w:tr>
                  <w:tr>
                    <w:trPr/>
                    <w:tc>
                      <w:tcPr>
                        <w:tcW w:w="1650" w:type="pct"/>
                        <w:vAlign w:val="top"/>
                      </w:tcPr>
                      <w:p>
                        <w:r>
                          <w:t xml:space="preserve">40300-00 [52]</w:t>
                        </w:r>
                      </w:p>
                    </w:tc>
                    <w:tc>
                      <w:tcPr>
                        <w:tcW w:w="3300" w:type="pct"/>
                        <w:vAlign w:val="top"/>
                      </w:tcPr>
                      <w:p>
                        <w:r>
                          <w:t xml:space="preserve">Discectomy, 1 level</w:t>
                        </w:r>
                      </w:p>
                    </w:tc>
                  </w:tr>
                  <w:tr>
                    <w:trPr/>
                    <w:tc>
                      <w:tcPr>
                        <w:tcW w:w="1650" w:type="pct"/>
                        <w:vAlign w:val="top"/>
                      </w:tcPr>
                      <w:p>
                        <w:r>
                          <w:t xml:space="preserve">40300-01 [52]</w:t>
                        </w:r>
                      </w:p>
                    </w:tc>
                    <w:tc>
                      <w:tcPr>
                        <w:tcW w:w="3300" w:type="pct"/>
                        <w:vAlign w:val="top"/>
                      </w:tcPr>
                      <w:p>
                        <w:r>
                          <w:t xml:space="preserve">Discectomy, &gt;= 2 levels</w:t>
                        </w:r>
                      </w:p>
                    </w:tc>
                  </w:tr>
                </w:tbl>
                <w:p>
                  <w:r>
                    <w:rPr>
                      <w:b/>
                    </w:rPr>
                    <w:t xml:space="preserve">Exclusion codes and description</w:t>
                  </w:r>
                </w:p>
                <w:tbl>
                  <w:tblPr>
                    <w:tblStyle w:val="InnerTable"/>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Presented as number of hospitalisations per 100,000 people.</w:t>
                  </w:r>
                </w:p>
                <w:p>
                  <w:r>
                    <w:t xml:space="preserve">Rates are directly age and sex standardised, to the 30 June 2001 Australian population aged 18 years and over, using 5-year age groups: 18-24, 25-29, … , 80-84, 85 and over.</w:t>
                  </w:r>
                </w:p>
                <w:p>
                  <w:r>
                    <w:t xml:space="preserve">Population estimates at 31 December are calculated as an average of the 30 June population estimates before and after the relevant December to derive a midpoint (31 December) population estimate. </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f11482a051b04adf">
                    <w:r>
                      <w:rPr>
                        <w:rStyle w:val="Hyperlink"/>
                        <w:b/>
                      </w:rPr>
                      <w:t xml:space="preserve">Age-standardised rate</w:t>
                    </w:r>
                    <w:r>
                      <w:rPr>
                        <w:b/>
                      </w:rPr>
                      <w:t xml:space="preserve">.</w:t>
                    </w:r>
                  </w:hyperlink>
                  <w:r>
                    <w:t xml:space="preserve"> </w:t>
                  </w:r>
                </w:p>
                <w:p>
                  <w:r>
                    <w:t xml:space="preserve">Analysis by state and territory is based on Statistical Area Level 2 (SA2) of usual residence of the patient.</w:t>
                  </w:r>
                </w:p>
                <w:p>
                  <w:r>
                    <w:t xml:space="preserve">Suppress data (number and rate) if at least one of the following conditions are met:</w:t>
                  </w:r>
                </w:p>
                <w:p>
                  <w:r>
                    <w:t xml:space="preserve">•  the total denominator is less than 1,000</w:t>
                  </w:r>
                </w:p>
                <w:p>
                  <w:r>
                    <w:t xml:space="preserve">•  the total numerator is less than 10</w:t>
                  </w:r>
                </w:p>
                <w:p>
                  <w:r>
                    <w:t xml:space="preserve">Age and sex standardised rates are also suppressed where the denominator for at least one of the age and sex groups used to calculate the rate is below 30.</w:t>
                  </w:r>
                </w:p>
                <w:p>
                  <w:r>
                    <w:t xml:space="preserve">Consequential suppression may be applied to preserve confidentialised data.</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100,000 × (Numerator ÷ Denominator)</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lumbar spinal fusion (excluding lumbar spinal decompression) hospitalisations aged 18 years and over, 2012-13 to 2014-15 and 2015-16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e7075bed8142a9">
              <w:r>
                <w:rPr>
                  <w:rStyle w:val="Hyperlink"/>
                </w:rPr>
                <w:t xml:space="preserve">Episode of admitted patient care—admission date, DDMMYYYY</w:t>
              </w:r>
            </w:hyperlink>
          </w:p>
          <w:p>
            <w:r>
              <w:rPr>
                <w:rStyle w:val="row-content"/>
                <w:b/>
              </w:rPr>
              <w:t xml:space="preserve">Data Source</w:t>
            </w:r>
          </w:p>
          <w:p>
            <w:hyperlink w:history="true" r:id="Rfcfab1bc376e4137">
              <w:r>
                <w:rPr>
                  <w:rStyle w:val="Hyperlink"/>
                </w:rPr>
                <w:t xml:space="preserve">National Hospital Morbidity Database (NHMD)</w:t>
              </w:r>
            </w:hyperlink>
          </w:p>
          <w:p>
            <w:r>
              <w:rPr>
                <w:rStyle w:val="row-content"/>
                <w:b/>
              </w:rPr>
              <w:t xml:space="preserve">Guide for use</w:t>
            </w:r>
          </w:p>
          <w:p>
            <w:r>
              <w:rPr>
                <w:rStyle w:val="row-content"/>
                <w:b/>
              </w:rPr>
              <w:t xml:space="preserve">NMDS/DSS:</w:t>
            </w:r>
            <w:r>
              <w:rPr>
                <w:rStyle w:val="row-content"/>
              </w:rPr>
              <w:t xml:space="preserve"> Admitted patient care NMDS 2012-13 to 2017-18</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1cdc552a4b4086">
              <w:r>
                <w:rPr>
                  <w:rStyle w:val="Hyperlink"/>
                </w:rPr>
                <w:t xml:space="preserve">Episode of care—principal diagnosis, code (ICD-10-AM 9th edn) ANN{.N[N]}</w:t>
              </w:r>
            </w:hyperlink>
          </w:p>
          <w:p>
            <w:r>
              <w:rPr>
                <w:rStyle w:val="row-content"/>
                <w:b/>
              </w:rPr>
              <w:t xml:space="preserve">Data Source</w:t>
            </w:r>
          </w:p>
          <w:p>
            <w:hyperlink w:history="true" r:id="R85dd12cff2c94427">
              <w:r>
                <w:rPr>
                  <w:rStyle w:val="Hyperlink"/>
                </w:rPr>
                <w:t xml:space="preserve">National Hospital Morbidity Database (NHMD)</w:t>
              </w:r>
            </w:hyperlink>
          </w:p>
          <w:p>
            <w:r>
              <w:rPr>
                <w:rStyle w:val="row-content"/>
                <w:b/>
              </w:rPr>
              <w:t xml:space="preserve">NMDS / DSS</w:t>
            </w:r>
          </w:p>
          <w:p>
            <w:hyperlink w:history="true" r:id="R8224bb93f2284199">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8407951ed14c8b">
              <w:r>
                <w:rPr>
                  <w:rStyle w:val="Hyperlink"/>
                </w:rPr>
                <w:t xml:space="preserve">Episode of care—principal diagnosis, code (ICD-10-AM 9th edn) ANN{.N[N]}</w:t>
              </w:r>
            </w:hyperlink>
          </w:p>
          <w:p>
            <w:r>
              <w:rPr>
                <w:rStyle w:val="row-content"/>
                <w:b/>
              </w:rPr>
              <w:t xml:space="preserve">Data Source</w:t>
            </w:r>
          </w:p>
          <w:p>
            <w:hyperlink w:history="true" r:id="R0dac05695bb3464f">
              <w:r>
                <w:rPr>
                  <w:rStyle w:val="Hyperlink"/>
                </w:rPr>
                <w:t xml:space="preserve">National Hospital Morbidity Database (NHMD)</w:t>
              </w:r>
            </w:hyperlink>
          </w:p>
          <w:p>
            <w:r>
              <w:rPr>
                <w:rStyle w:val="row-content"/>
                <w:b/>
              </w:rPr>
              <w:t xml:space="preserve">NMDS / DSS</w:t>
            </w:r>
          </w:p>
          <w:p>
            <w:hyperlink w:history="true" r:id="R0e6dbe94d28644d6">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0c757906316410c">
              <w:r>
                <w:rPr>
                  <w:rStyle w:val="Hyperlink"/>
                </w:rPr>
                <w:t xml:space="preserve">Episode of admitted patient care—procedure, code (ACHI 9th edn) NNNNN-NN</w:t>
              </w:r>
            </w:hyperlink>
          </w:p>
          <w:p>
            <w:r>
              <w:rPr>
                <w:rStyle w:val="row-content"/>
                <w:b/>
              </w:rPr>
              <w:t xml:space="preserve">Data Source</w:t>
            </w:r>
          </w:p>
          <w:p>
            <w:hyperlink w:history="true" r:id="R1db5e40be4214cd3">
              <w:r>
                <w:rPr>
                  <w:rStyle w:val="Hyperlink"/>
                </w:rPr>
                <w:t xml:space="preserve">National Hospital Morbidity Database (NHMD)</w:t>
              </w:r>
            </w:hyperlink>
          </w:p>
          <w:p>
            <w:r>
              <w:rPr>
                <w:rStyle w:val="row-content"/>
                <w:b/>
              </w:rPr>
              <w:t xml:space="preserve">NMDS / DSS</w:t>
            </w:r>
          </w:p>
          <w:p>
            <w:hyperlink w:history="true" r:id="Rc4f2a1c42c0945b4">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efcafe38e14f79">
              <w:r>
                <w:rPr>
                  <w:rStyle w:val="Hyperlink"/>
                </w:rPr>
                <w:t xml:space="preserve">Episode of admitted patient care—procedure, code (ACHI 9th edn) NNNNN-NN</w:t>
              </w:r>
            </w:hyperlink>
          </w:p>
          <w:p>
            <w:r>
              <w:rPr>
                <w:rStyle w:val="row-content"/>
                <w:b/>
              </w:rPr>
              <w:t xml:space="preserve">Data Source</w:t>
            </w:r>
          </w:p>
          <w:p>
            <w:hyperlink w:history="true" r:id="R6e35baed0c2c44f9">
              <w:r>
                <w:rPr>
                  <w:rStyle w:val="Hyperlink"/>
                </w:rPr>
                <w:t xml:space="preserve">National Hospital Morbidity Database (NHMD)</w:t>
              </w:r>
            </w:hyperlink>
          </w:p>
          <w:p>
            <w:r>
              <w:rPr>
                <w:rStyle w:val="row-content"/>
                <w:b/>
              </w:rPr>
              <w:t xml:space="preserve">NMDS / DSS</w:t>
            </w:r>
          </w:p>
          <w:p>
            <w:hyperlink w:history="true" r:id="Rdb7fc2acaa134f0e">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44d4e3c6674a73">
              <w:r>
                <w:rPr>
                  <w:rStyle w:val="Hyperlink"/>
                </w:rPr>
                <w:t xml:space="preserve">Person—sex, code A</w:t>
              </w:r>
            </w:hyperlink>
          </w:p>
          <w:p>
            <w:r>
              <w:rPr>
                <w:rStyle w:val="row-content"/>
                <w:b/>
              </w:rPr>
              <w:t xml:space="preserve">Data Source</w:t>
            </w:r>
          </w:p>
          <w:p>
            <w:hyperlink w:history="true" r:id="R9eae9d3d71e34349">
              <w:r>
                <w:rPr>
                  <w:rStyle w:val="Hyperlink"/>
                </w:rPr>
                <w:t xml:space="preserve">National Hospital Morbidity Database (NHMD)</w:t>
              </w:r>
            </w:hyperlink>
          </w:p>
          <w:p>
            <w:r>
              <w:rPr>
                <w:rStyle w:val="row-content"/>
                <w:b/>
              </w:rPr>
              <w:t xml:space="preserve">Guide for use</w:t>
            </w:r>
          </w:p>
          <w:p>
            <w:r>
              <w:rPr>
                <w:rStyle w:val="row-content"/>
                <w:b/>
              </w:rPr>
              <w:t xml:space="preserve">NMDS/DSS:</w:t>
            </w:r>
            <w:r>
              <w:rPr>
                <w:rStyle w:val="row-content"/>
              </w:rPr>
              <w:t xml:space="preserve"> Admitted patient care NMDS 2012-13 to 2017-18</w:t>
            </w:r>
            <w:r>
              <w:br/>
            </w:r>
            <w:r>
              <w:rPr>
                <w:rStyle w:val="row-content"/>
              </w:rPr>
              <w:t xml:space="preserve">Data source type:</w:t>
            </w:r>
            <w:r>
              <w:rPr>
                <w:rStyle w:val="row-content"/>
                <w:b/>
              </w:rPr>
              <w:t xml:space="preserve"> </w:t>
            </w:r>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c2762723a0a843e0">
              <w:r>
                <w:rPr>
                  <w:rStyle w:val="Hyperlink"/>
                </w:rPr>
                <w:t xml:space="preserve">Episode of admitted patient care—procedure, code (ACHI 10th edn) NNNNN-NN</w:t>
              </w:r>
            </w:hyperlink>
          </w:p>
          <w:p>
            <w:r>
              <w:rPr>
                <w:rStyle w:val="row-content"/>
                <w:b/>
              </w:rPr>
              <w:t xml:space="preserve">Data Source</w:t>
            </w:r>
          </w:p>
          <w:p>
            <w:hyperlink w:history="true" r:id="R29c3fc7c7a794471">
              <w:r>
                <w:rPr>
                  <w:rStyle w:val="Hyperlink"/>
                </w:rPr>
                <w:t xml:space="preserve">National Hospital Morbidity Database (NHMD)</w:t>
              </w:r>
            </w:hyperlink>
          </w:p>
          <w:p>
            <w:r>
              <w:rPr>
                <w:rStyle w:val="row-content"/>
                <w:b/>
              </w:rPr>
              <w:t xml:space="preserve">NMDS / DSS</w:t>
            </w:r>
          </w:p>
          <w:p>
            <w:hyperlink w:history="true" r:id="Rb087ebd0cefe4d73">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a1b27704d9d4c40">
              <w:r>
                <w:rPr>
                  <w:rStyle w:val="Hyperlink"/>
                </w:rPr>
                <w:t xml:space="preserve">Episode of admitted patient care—condition onset flag, code N</w:t>
              </w:r>
            </w:hyperlink>
          </w:p>
          <w:p>
            <w:r>
              <w:rPr>
                <w:rStyle w:val="row-content"/>
                <w:b/>
              </w:rPr>
              <w:t xml:space="preserve">Data Source</w:t>
            </w:r>
          </w:p>
          <w:p>
            <w:hyperlink w:history="true" r:id="Re0bd9b22b73e4fbb">
              <w:r>
                <w:rPr>
                  <w:rStyle w:val="Hyperlink"/>
                </w:rPr>
                <w:t xml:space="preserve">National Hospital Morbidity Database (NHMD)</w:t>
              </w:r>
            </w:hyperlink>
          </w:p>
          <w:p>
            <w:r>
              <w:rPr>
                <w:rStyle w:val="row-content"/>
                <w:b/>
              </w:rPr>
              <w:t xml:space="preserve">Guide for use</w:t>
            </w:r>
          </w:p>
          <w:p>
            <w:r>
              <w:rPr>
                <w:rStyle w:val="row-content"/>
                <w:b/>
              </w:rPr>
              <w:t xml:space="preserve">NMDS/DSS:</w:t>
            </w:r>
            <w:r>
              <w:rPr>
                <w:rStyle w:val="row-content"/>
              </w:rPr>
              <w:t xml:space="preserve"> Admitted patient care NMDS 2012-13 to 2017-18</w:t>
            </w:r>
            <w:r>
              <w:br/>
            </w:r>
            <w:r>
              <w:rPr>
                <w:rStyle w:val="row-content"/>
              </w:rPr>
              <w:t xml:space="preserve">Data source type:</w:t>
            </w:r>
            <w:r>
              <w:rPr>
                <w:rStyle w:val="row-content"/>
                <w:b/>
              </w:rPr>
              <w:t xml:space="preserve"> </w:t>
            </w:r>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0e99fa90f3c84979">
              <w:r>
                <w:rPr>
                  <w:rStyle w:val="Hyperlink"/>
                </w:rPr>
                <w:t xml:space="preserve">Episode of care—principal diagnosis, code (ICD-10-AM 10th edn) ANN{.N[N]}</w:t>
              </w:r>
            </w:hyperlink>
          </w:p>
          <w:p>
            <w:r>
              <w:rPr>
                <w:rStyle w:val="row-content"/>
                <w:b/>
              </w:rPr>
              <w:t xml:space="preserve">Data Source</w:t>
            </w:r>
          </w:p>
          <w:p>
            <w:hyperlink w:history="true" r:id="R82c4a0ac74f5449e">
              <w:r>
                <w:rPr>
                  <w:rStyle w:val="Hyperlink"/>
                </w:rPr>
                <w:t xml:space="preserve">National Hospital Morbidity Database (NHMD)</w:t>
              </w:r>
            </w:hyperlink>
          </w:p>
          <w:p>
            <w:r>
              <w:rPr>
                <w:rStyle w:val="row-content"/>
                <w:b/>
              </w:rPr>
              <w:t xml:space="preserve">NMDS / DSS</w:t>
            </w:r>
          </w:p>
          <w:p>
            <w:hyperlink w:history="true" r:id="Rd0a7ee6097d94323">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be1dadf27c41dd">
              <w:r>
                <w:rPr>
                  <w:rStyle w:val="Hyperlink"/>
                </w:rPr>
                <w:t xml:space="preserve">Person—date of birth, DDMMYYYY</w:t>
              </w:r>
            </w:hyperlink>
          </w:p>
          <w:p>
            <w:r>
              <w:rPr>
                <w:rStyle w:val="row-content"/>
                <w:b/>
              </w:rPr>
              <w:t xml:space="preserve">Data Source</w:t>
            </w:r>
          </w:p>
          <w:p>
            <w:hyperlink w:history="true" r:id="Rdad918db5b0e4557">
              <w:r>
                <w:rPr>
                  <w:rStyle w:val="Hyperlink"/>
                </w:rPr>
                <w:t xml:space="preserve">National Hospital Morbidity Database (NHMD)</w:t>
              </w:r>
            </w:hyperlink>
          </w:p>
          <w:p>
            <w:r>
              <w:rPr>
                <w:rStyle w:val="row-content"/>
                <w:b/>
              </w:rPr>
              <w:t xml:space="preserve">Guide for use</w:t>
            </w:r>
          </w:p>
          <w:p>
            <w:r>
              <w:rPr>
                <w:rStyle w:val="row-content"/>
                <w:b/>
              </w:rPr>
              <w:t xml:space="preserve">NMDS/DSS:</w:t>
            </w:r>
            <w:r>
              <w:rPr>
                <w:rStyle w:val="row-content"/>
              </w:rPr>
              <w:t xml:space="preserve"> Admitted patient care NMDS 2012-13 to 2017-18</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d834b7f65e14d58">
              <w:r>
                <w:rPr>
                  <w:rStyle w:val="Hyperlink"/>
                </w:rPr>
                <w:t xml:space="preserve">Episode of care—principal diagnosis, code (ICD-10-AM 7th edn) ANN{.N[N]}</w:t>
              </w:r>
            </w:hyperlink>
          </w:p>
          <w:p>
            <w:r>
              <w:rPr>
                <w:rStyle w:val="row-content"/>
                <w:b/>
              </w:rPr>
              <w:t xml:space="preserve">Data Source</w:t>
            </w:r>
          </w:p>
          <w:p>
            <w:hyperlink w:history="true" r:id="R653843483e41460c">
              <w:r>
                <w:rPr>
                  <w:rStyle w:val="Hyperlink"/>
                </w:rPr>
                <w:t xml:space="preserve">National Hospital Morbidity Database (NHMD)</w:t>
              </w:r>
            </w:hyperlink>
          </w:p>
          <w:p>
            <w:r>
              <w:rPr>
                <w:rStyle w:val="row-content"/>
                <w:b/>
              </w:rPr>
              <w:t xml:space="preserve">NMDS / DSS</w:t>
            </w:r>
          </w:p>
          <w:p>
            <w:hyperlink w:history="true" r:id="Rd2489cb0c5ea48d1">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9dfeaca0ab46b5">
              <w:r>
                <w:rPr>
                  <w:rStyle w:val="Hyperlink"/>
                </w:rPr>
                <w:t xml:space="preserve">Episode of admitted patient care—procedure, code (ACHI 7th edn) NNNNN-NN</w:t>
              </w:r>
            </w:hyperlink>
          </w:p>
          <w:p>
            <w:r>
              <w:rPr>
                <w:rStyle w:val="row-content"/>
                <w:b/>
              </w:rPr>
              <w:t xml:space="preserve">Data Source</w:t>
            </w:r>
          </w:p>
          <w:p>
            <w:hyperlink w:history="true" r:id="Rf5dce307667c4eba">
              <w:r>
                <w:rPr>
                  <w:rStyle w:val="Hyperlink"/>
                </w:rPr>
                <w:t xml:space="preserve">National Hospital Morbidity Database (NHMD)</w:t>
              </w:r>
            </w:hyperlink>
          </w:p>
          <w:p>
            <w:r>
              <w:rPr>
                <w:rStyle w:val="row-content"/>
                <w:b/>
              </w:rPr>
              <w:t xml:space="preserve">NMDS / DSS</w:t>
            </w:r>
          </w:p>
          <w:p>
            <w:hyperlink w:history="true" r:id="R62acdfcd40fb40b8">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597df1b2ffd4fe7">
              <w:r>
                <w:rPr>
                  <w:rStyle w:val="Hyperlink"/>
                </w:rPr>
                <w:t xml:space="preserve">Episode of admitted patient care—procedure, code (ACHI 8th edn) NNNNN-NN</w:t>
              </w:r>
            </w:hyperlink>
          </w:p>
          <w:p>
            <w:r>
              <w:rPr>
                <w:rStyle w:val="row-content"/>
                <w:b/>
              </w:rPr>
              <w:t xml:space="preserve">Data Source</w:t>
            </w:r>
          </w:p>
          <w:p>
            <w:hyperlink w:history="true" r:id="R503235f581254fd2">
              <w:r>
                <w:rPr>
                  <w:rStyle w:val="Hyperlink"/>
                </w:rPr>
                <w:t xml:space="preserve">National Hospital Morbidity Database (NHMD)</w:t>
              </w:r>
            </w:hyperlink>
          </w:p>
          <w:p>
            <w:r>
              <w:rPr>
                <w:rStyle w:val="row-content"/>
                <w:b/>
              </w:rPr>
              <w:t xml:space="preserve">NMDS / DSS</w:t>
            </w:r>
          </w:p>
          <w:p>
            <w:hyperlink w:history="true" r:id="R1ca6f76ee2874a21">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1ad820af724181">
              <w:r>
                <w:rPr>
                  <w:rStyle w:val="Hyperlink"/>
                </w:rPr>
                <w:t xml:space="preserve">Episode of admitted patient care—procedure, code (ACHI 8th edn) NNNNN-NN</w:t>
              </w:r>
            </w:hyperlink>
          </w:p>
          <w:p>
            <w:r>
              <w:rPr>
                <w:rStyle w:val="row-content"/>
                <w:b/>
              </w:rPr>
              <w:t xml:space="preserve">Data Source</w:t>
            </w:r>
          </w:p>
          <w:p>
            <w:hyperlink w:history="true" r:id="R55862cfd474d4775">
              <w:r>
                <w:rPr>
                  <w:rStyle w:val="Hyperlink"/>
                </w:rPr>
                <w:t xml:space="preserve">National Hospital Morbidity Database (NHMD)</w:t>
              </w:r>
            </w:hyperlink>
          </w:p>
          <w:p>
            <w:r>
              <w:rPr>
                <w:rStyle w:val="row-content"/>
                <w:b/>
              </w:rPr>
              <w:t xml:space="preserve">NMDS / DSS</w:t>
            </w:r>
          </w:p>
          <w:p>
            <w:hyperlink w:history="true" r:id="R2d92025f8e814838">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06949cc28d145ab">
              <w:r>
                <w:rPr>
                  <w:rStyle w:val="Hyperlink"/>
                </w:rPr>
                <w:t xml:space="preserve">Episode of care—principal diagnosis, code (ICD-10-AM 8th edn) ANN{.N[N]}</w:t>
              </w:r>
            </w:hyperlink>
          </w:p>
          <w:p>
            <w:r>
              <w:rPr>
                <w:rStyle w:val="row-content"/>
                <w:b/>
              </w:rPr>
              <w:t xml:space="preserve">Data Source</w:t>
            </w:r>
          </w:p>
          <w:p>
            <w:hyperlink w:history="true" r:id="Re291732e7b734686">
              <w:r>
                <w:rPr>
                  <w:rStyle w:val="Hyperlink"/>
                </w:rPr>
                <w:t xml:space="preserve">National Hospital Morbidity Database (NHMD)</w:t>
              </w:r>
            </w:hyperlink>
          </w:p>
          <w:p>
            <w:r>
              <w:rPr>
                <w:rStyle w:val="row-content"/>
                <w:b/>
              </w:rPr>
              <w:t xml:space="preserve">NMDS / DSS</w:t>
            </w:r>
          </w:p>
          <w:p>
            <w:hyperlink w:history="true" r:id="Rbeb2738f8a4d40f8">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d32247ab494649">
              <w:r>
                <w:rPr>
                  <w:rStyle w:val="Hyperlink"/>
                </w:rPr>
                <w:t xml:space="preserve">Episode of care—principal diagnosis, code (ICD-10-AM 8th edn) ANN{.N[N]}</w:t>
              </w:r>
            </w:hyperlink>
          </w:p>
          <w:p>
            <w:r>
              <w:rPr>
                <w:rStyle w:val="row-content"/>
                <w:b/>
              </w:rPr>
              <w:t xml:space="preserve">Data Source</w:t>
            </w:r>
          </w:p>
          <w:p>
            <w:hyperlink w:history="true" r:id="R155a1622b04a48ff">
              <w:r>
                <w:rPr>
                  <w:rStyle w:val="Hyperlink"/>
                </w:rPr>
                <w:t xml:space="preserve">National Hospital Morbidity Database (NHMD)</w:t>
              </w:r>
            </w:hyperlink>
          </w:p>
          <w:p>
            <w:r>
              <w:rPr>
                <w:rStyle w:val="row-content"/>
                <w:b/>
              </w:rPr>
              <w:t xml:space="preserve">NMDS / DSS</w:t>
            </w:r>
          </w:p>
          <w:p>
            <w:hyperlink w:history="true" r:id="R0d3f6c07dec24579">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7606d941ba44473">
              <w:r>
                <w:rPr>
                  <w:rStyle w:val="Hyperlink"/>
                </w:rPr>
                <w:t xml:space="preserve">Hospital service—care type, code N[N]</w:t>
              </w:r>
            </w:hyperlink>
          </w:p>
          <w:p>
            <w:r>
              <w:rPr>
                <w:rStyle w:val="row-content"/>
                <w:b/>
              </w:rPr>
              <w:t xml:space="preserve">Data Source</w:t>
            </w:r>
          </w:p>
          <w:p>
            <w:hyperlink w:history="true" r:id="Re1f8735d8d284d67">
              <w:r>
                <w:rPr>
                  <w:rStyle w:val="Hyperlink"/>
                </w:rPr>
                <w:t xml:space="preserve">National Hospital Morbidity Database (NHMD)</w:t>
              </w:r>
            </w:hyperlink>
          </w:p>
          <w:p>
            <w:r>
              <w:rPr>
                <w:rStyle w:val="row-content"/>
                <w:b/>
              </w:rPr>
              <w:t xml:space="preserve">Guide for use</w:t>
            </w:r>
          </w:p>
          <w:p>
            <w:r>
              <w:rPr>
                <w:rStyle w:val="row-content"/>
                <w:b/>
              </w:rPr>
              <w:t xml:space="preserve">NMDS/DSS:</w:t>
            </w:r>
            <w:r>
              <w:rPr>
                <w:rStyle w:val="row-content"/>
              </w:rPr>
              <w:t xml:space="preserve"> Admitted patient care NMDS 2012-13 to 2017-18 </w:t>
            </w:r>
            <w:r>
              <w:br/>
            </w:r>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 of population aged 18 years and over as at:</w:t>
            </w:r>
          </w:p>
          <w:p>
            <w:pPr>
              <w:pStyle w:val="ListParagraph"/>
              <w:numPr>
                <w:ilvl w:val="0"/>
                <w:numId w:val="2"/>
              </w:numPr>
            </w:pPr>
            <w:r>
              <w:rPr>
                <w:rStyle w:val="row-content-rich-text"/>
              </w:rPr>
              <w:t xml:space="preserve">31 December 2012, 31 December 2013 and 31 December 2014</w:t>
            </w:r>
          </w:p>
          <w:p>
            <w:pPr>
              <w:pStyle w:val="ListParagraph"/>
              <w:numPr>
                <w:ilvl w:val="0"/>
                <w:numId w:val="2"/>
              </w:numPr>
            </w:pPr>
            <w:r>
              <w:rPr>
                <w:rStyle w:val="row-content-rich-text"/>
              </w:rPr>
              <w:t xml:space="preserve">31 December 2015, 31 December 2016 and 31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476f09a131481f">
              <w:r>
                <w:rPr>
                  <w:rStyle w:val="Hyperlink"/>
                </w:rPr>
                <w:t xml:space="preserve">Person—estimated resident population of Australia, total people N[N(7)]</w:t>
              </w:r>
            </w:hyperlink>
          </w:p>
          <w:p>
            <w:r>
              <w:rPr>
                <w:rStyle w:val="row-content"/>
                <w:b/>
              </w:rPr>
              <w:t xml:space="preserve">Data Source</w:t>
            </w:r>
          </w:p>
          <w:p>
            <w:hyperlink w:history="true" r:id="R858f5c0246f04c20">
              <w:r>
                <w:rPr>
                  <w:rStyle w:val="Hyperlink"/>
                </w:rPr>
                <w:t xml:space="preserve">ABS Australian Demographic Statistics</w:t>
              </w:r>
            </w:hyperlink>
          </w:p>
          <w:p>
            <w:r>
              <w:rPr>
                <w:rStyle w:val="row-content"/>
                <w:b/>
              </w:rPr>
              <w:t xml:space="preserve">Guide for use</w:t>
            </w:r>
          </w:p>
          <w:p>
            <w:r>
              <w:rPr>
                <w:rStyle w:val="row-content"/>
                <w:b/>
              </w:rPr>
              <w:t xml:space="preserve">Data source type: </w:t>
            </w:r>
            <w:r>
              <w:rPr>
                <w:rStyle w:val="row-content"/>
              </w:rPr>
              <w:t xml:space="preserve">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Patient funding status</w:t>
            </w:r>
          </w:p>
          <w:p>
            <w:pPr>
              <w:pStyle w:val="ListParagraph"/>
              <w:numPr>
                <w:ilvl w:val="0"/>
                <w:numId w:val="3"/>
              </w:numPr>
            </w:pPr>
            <w:r>
              <w:rPr>
                <w:rStyle w:val="row-content-rich-text"/>
              </w:rPr>
              <w:t xml:space="preserve">Age group (18-64 years, 65-74 years, 75-84 years, 85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68749ffa1f4ad4">
              <w:r>
                <w:rPr>
                  <w:rStyle w:val="Hyperlink"/>
                </w:rPr>
                <w:t xml:space="preserve">Episode of admitted patient care—admission date, DDMMYYYY</w:t>
              </w:r>
            </w:hyperlink>
          </w:p>
          <w:p>
            <w:r>
              <w:rPr>
                <w:rStyle w:val="row-content"/>
                <w:b/>
              </w:rPr>
              <w:t xml:space="preserve">Data Source</w:t>
            </w:r>
          </w:p>
          <w:p>
            <w:hyperlink w:history="true" r:id="R2dcde3e340cc436a">
              <w:r>
                <w:rPr>
                  <w:rStyle w:val="Hyperlink"/>
                </w:rPr>
                <w:t xml:space="preserve">National Hospital Morbidity Database (NHMD)</w:t>
              </w:r>
            </w:hyperlink>
          </w:p>
          <w:p>
            <w:r>
              <w:rPr>
                <w:rStyle w:val="row-content"/>
              </w:rPr>
              <w:t xml:space="preserve"> </w:t>
            </w:r>
          </w:p>
          <w:p>
            <w:r>
              <w:rPr>
                <w:rStyle w:val="row-content"/>
                <w:b/>
                <w:color w:val="000000"/>
              </w:rPr>
              <w:t xml:space="preserve">Data Element / Data Set</w:t>
            </w:r>
          </w:p>
          <w:p>
            <w:hyperlink w:history="true" r:id="Re7568de998e34470">
              <w:r>
                <w:rPr>
                  <w:rStyle w:val="Hyperlink"/>
                </w:rPr>
                <w:t xml:space="preserve">Establishment—sector, code N</w:t>
              </w:r>
            </w:hyperlink>
          </w:p>
          <w:p>
            <w:r>
              <w:rPr>
                <w:rStyle w:val="row-content"/>
                <w:b/>
              </w:rPr>
              <w:t xml:space="preserve">Data Source</w:t>
            </w:r>
          </w:p>
          <w:p>
            <w:hyperlink w:history="true" r:id="Ra04bd6527ce347ad">
              <w:r>
                <w:rPr>
                  <w:rStyle w:val="Hyperlink"/>
                </w:rPr>
                <w:t xml:space="preserve">National Hospital Morbidity Database (NHMD)</w:t>
              </w:r>
            </w:hyperlink>
          </w:p>
          <w:p>
            <w:r>
              <w:rPr>
                <w:rStyle w:val="row-content"/>
                <w:b/>
              </w:rPr>
              <w:t xml:space="preserve">Guide for use</w:t>
            </w:r>
          </w:p>
          <w:p>
            <w:r>
              <w:rPr>
                <w:rStyle w:val="row-content"/>
              </w:rPr>
              <w:t xml:space="preserve">For more information about the patient funding status, see the </w:t>
            </w:r>
            <w:hyperlink w:history="true" r:id="R4354a725fac84eea">
              <w:r>
                <w:rPr>
                  <w:rStyle w:val="Hyperlink"/>
                </w:rPr>
                <w:t xml:space="preserve">Technical Supplement of the Fourth Atlas</w:t>
              </w:r>
            </w:hyperlink>
            <w:r>
              <w:rPr>
                <w:rStyle w:val="row-content"/>
              </w:rPr>
              <w:t xml:space="preserve">.</w:t>
            </w:r>
          </w:p>
          <w:p>
            <w:r>
              <w:rPr>
                <w:rStyle w:val="row-content"/>
              </w:rPr>
              <w:t xml:space="preserve">Data source type:</w:t>
            </w:r>
            <w:r>
              <w:rPr>
                <w:rStyle w:val="row-content"/>
                <w:b/>
              </w:rPr>
              <w:t xml:space="preserve"> </w:t>
            </w:r>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89dd5f4bc90341ca">
              <w:r>
                <w:rPr>
                  <w:rStyle w:val="Hyperlink"/>
                </w:rPr>
                <w:t xml:space="preserve">Person—date of birth, DDMMYYYY</w:t>
              </w:r>
            </w:hyperlink>
          </w:p>
          <w:p>
            <w:r>
              <w:rPr>
                <w:rStyle w:val="row-content"/>
                <w:b/>
              </w:rPr>
              <w:t xml:space="preserve">Data Source</w:t>
            </w:r>
          </w:p>
          <w:p>
            <w:hyperlink w:history="true" r:id="R7a131e066f074e1a">
              <w:r>
                <w:rPr>
                  <w:rStyle w:val="Hyperlink"/>
                </w:rPr>
                <w:t xml:space="preserve">National Hospital Morbidity Database (NHMD)</w:t>
              </w:r>
            </w:hyperlink>
          </w:p>
          <w:p>
            <w:r>
              <w:rPr>
                <w:rStyle w:val="row-content"/>
              </w:rPr>
              <w:t xml:space="preserve"> </w:t>
            </w:r>
          </w:p>
          <w:p>
            <w:r>
              <w:rPr>
                <w:rStyle w:val="row-content"/>
                <w:b/>
                <w:color w:val="000000"/>
              </w:rPr>
              <w:t xml:space="preserve">Data Element / Data Set</w:t>
            </w:r>
          </w:p>
          <w:p>
            <w:hyperlink w:history="true" r:id="R8086a21318674e02">
              <w:r>
                <w:rPr>
                  <w:rStyle w:val="Hyperlink"/>
                </w:rPr>
                <w:t xml:space="preserve">Episode of admitted patient care—patient election status, code N</w:t>
              </w:r>
            </w:hyperlink>
          </w:p>
          <w:p>
            <w:r>
              <w:rPr>
                <w:rStyle w:val="row-content"/>
                <w:b/>
              </w:rPr>
              <w:t xml:space="preserve">Data Source</w:t>
            </w:r>
          </w:p>
          <w:p>
            <w:hyperlink w:history="true" r:id="Re4004cfce3394667">
              <w:r>
                <w:rPr>
                  <w:rStyle w:val="Hyperlink"/>
                </w:rPr>
                <w:t xml:space="preserve">National Hospital Morbidity Database (NHMD)</w:t>
              </w:r>
            </w:hyperlink>
          </w:p>
          <w:p>
            <w:r>
              <w:rPr>
                <w:rStyle w:val="row-content"/>
              </w:rPr>
              <w:t xml:space="preserve"> </w:t>
            </w:r>
          </w:p>
          <w:p>
            <w:r>
              <w:rPr>
                <w:rStyle w:val="row-content"/>
                <w:b/>
                <w:color w:val="000000"/>
              </w:rPr>
              <w:t xml:space="preserve">Data Element / Data Set</w:t>
            </w:r>
          </w:p>
          <w:p>
            <w:hyperlink w:history="true" r:id="R1d2ae8add0344aa1">
              <w:r>
                <w:rPr>
                  <w:rStyle w:val="Hyperlink"/>
                </w:rPr>
                <w:t xml:space="preserve">Episode of care—source of funding, patient funding source code NN</w:t>
              </w:r>
            </w:hyperlink>
          </w:p>
          <w:p>
            <w:r>
              <w:rPr>
                <w:rStyle w:val="row-content"/>
                <w:b/>
              </w:rPr>
              <w:t xml:space="preserve">Data Source</w:t>
            </w:r>
          </w:p>
          <w:p>
            <w:hyperlink w:history="true" r:id="Rb48f5cb1593b4c1e">
              <w:r>
                <w:rPr>
                  <w:rStyle w:val="Hyperlink"/>
                </w:rPr>
                <w:t xml:space="preserve">National Hospital Morbidity Database (NHMD)</w:t>
              </w:r>
            </w:hyperlink>
          </w:p>
          <w:p>
            <w:r>
              <w:rPr>
                <w:rStyle w:val="row-content"/>
              </w:rPr>
              <w:t xml:space="preserve"> </w:t>
            </w:r>
          </w:p>
          <w:p>
            <w:r>
              <w:rPr>
                <w:rStyle w:val="row-content"/>
                <w:b/>
                <w:color w:val="000000"/>
              </w:rPr>
              <w:t xml:space="preserve">Data Element / Data Set</w:t>
            </w:r>
          </w:p>
          <w:p>
            <w:hyperlink w:history="true" r:id="R7cb4bf2589de498b">
              <w:r>
                <w:rPr>
                  <w:rStyle w:val="Hyperlink"/>
                </w:rPr>
                <w:t xml:space="preserve">Person—area of usual residence, statistical area level 2 (SA2) code (ASGS 2016) N(9)</w:t>
              </w:r>
            </w:hyperlink>
          </w:p>
          <w:p>
            <w:r>
              <w:rPr>
                <w:rStyle w:val="row-content"/>
                <w:b/>
              </w:rPr>
              <w:t xml:space="preserve">Data Source</w:t>
            </w:r>
          </w:p>
          <w:p>
            <w:hyperlink w:history="true" r:id="Ra5b9fa4e329e448c">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2bb2e1b113d4909">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91aca475bc049b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9d7a227341a46d2">
              <w:r>
                <w:rPr>
                  <w:rStyle w:val="Hyperlink"/>
                </w:rPr>
                <w:t xml:space="preserve">ABS Estimated resident population (total population), QS</w:t>
              </w:r>
            </w:hyperlink>
          </w:p>
          <w:p>
            <w:pPr>
              <w:pStyle w:val="registration-status"/>
              <w:spacing w:before="0" w:after="0"/>
            </w:pPr>
            <w:hyperlink w:history="true" r:id="Rabe618de09254fe2">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252b60ba564b4c3a">
              <w:r>
                <w:rPr>
                  <w:rStyle w:val="Hyperlink"/>
                </w:rPr>
                <w:t xml:space="preserve">ABS Indigenous experimental estimates and projections, QS</w:t>
              </w:r>
            </w:hyperlink>
          </w:p>
          <w:p>
            <w:pPr>
              <w:pStyle w:val="registration-status"/>
              <w:spacing w:before="0" w:after="0"/>
            </w:pPr>
            <w:hyperlink w:history="true" r:id="R63a1b4f3a3d54148">
              <w:r>
                <w:rPr>
                  <w:rStyle w:val="Hyperlink"/>
                  <w:color w:val="244061"/>
                </w:rPr>
                <w:t xml:space="preserve">Health!</w:t>
              </w:r>
            </w:hyperlink>
            <w:r>
              <w:rPr>
                <w:rStyle w:val="row-content"/>
                <w:color w:val="244061"/>
              </w:rPr>
              <w:t xml:space="preserve">, Standard 08/06/2011</w:t>
            </w:r>
          </w:p>
          <w:p>
            <w:pPr>
              <w:pStyle w:val="registration-status"/>
              <w:spacing w:before="0" w:after="0"/>
            </w:pPr>
            <w:hyperlink w:history="true" r:id="R82c8c37528f8473c">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2e9038343b8347af">
              <w:r>
                <w:rPr>
                  <w:rStyle w:val="Hyperlink"/>
                </w:rPr>
                <w:t xml:space="preserve">Australian Atlas of Healthcare Variation: Number of lumbar spinal fusion (excluding lumbar spinal decompression) hospitalisations per 100,000 people, aged 18 years and over, 2012-13 to 2014-15</w:t>
              </w:r>
            </w:hyperlink>
          </w:p>
          <w:p>
            <w:pPr>
              <w:pStyle w:val="registration-status"/>
              <w:spacing w:before="0" w:after="0"/>
            </w:pPr>
            <w:hyperlink w:history="true" r:id="R1eaa391ce1734614">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b77f3d3ac77c4c8a">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9dbd5f60622c4920">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e2ad9e1973ff4170">
              <w:r>
                <w:rPr>
                  <w:rStyle w:val="Hyperlink"/>
                </w:rPr>
                <w:t xml:space="preserve">Data quality statement: Admitted Patient Care 2015-16</w:t>
              </w:r>
            </w:hyperlink>
          </w:p>
          <w:p>
            <w:pPr>
              <w:pStyle w:val="registration-status"/>
              <w:spacing w:before="0" w:after="0"/>
            </w:pPr>
            <w:hyperlink w:history="true" r:id="Re3a0ac4e41f044c4">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c1bf10087d8a451b">
              <w:r>
                <w:rPr>
                  <w:rStyle w:val="Hyperlink"/>
                </w:rPr>
                <w:t xml:space="preserve">Data quality statement: Admitted Patient Care 2016-17</w:t>
              </w:r>
            </w:hyperlink>
          </w:p>
          <w:p>
            <w:pPr>
              <w:pStyle w:val="registration-status"/>
              <w:spacing w:before="0" w:after="0"/>
            </w:pPr>
            <w:hyperlink w:history="true" r:id="R83f759e1120449f6">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ed9201b236d346e3">
              <w:r>
                <w:rPr>
                  <w:rStyle w:val="Hyperlink"/>
                </w:rPr>
                <w:t xml:space="preserve">Data quality statement: Admitted Patient Care 2017-18</w:t>
              </w:r>
            </w:hyperlink>
          </w:p>
          <w:p>
            <w:pPr>
              <w:pStyle w:val="registration-status"/>
              <w:spacing w:before="0" w:after="0"/>
            </w:pPr>
            <w:hyperlink w:history="true" r:id="R3dcee85209fa484c">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a4406e48e1f849d4">
              <w:r>
                <w:rPr>
                  <w:rStyle w:val="Hyperlink"/>
                </w:rPr>
                <w:t xml:space="preserve">Data quality statement: National Hospital Morbidity Database 2013–14</w:t>
              </w:r>
            </w:hyperlink>
          </w:p>
          <w:p>
            <w:pPr>
              <w:pStyle w:val="registration-status"/>
              <w:spacing w:before="0" w:after="0"/>
            </w:pPr>
            <w:hyperlink w:history="true" r:id="R0d4f7d7d5f104bfc">
              <w:r>
                <w:rPr>
                  <w:rStyle w:val="Hyperlink"/>
                  <w:color w:val="244061"/>
                </w:rPr>
                <w:t xml:space="preserve">AIHW Data Quality Statements</w:t>
              </w:r>
            </w:hyperlink>
            <w:r>
              <w:rPr>
                <w:rStyle w:val="row-content"/>
                <w:color w:val="244061"/>
              </w:rPr>
              <w:t xml:space="preserve">, Standard 03/06/2015</w:t>
            </w:r>
          </w:p>
          <w:p>
            <w:r>
              <w:br/>
            </w:r>
            <w:r>
              <w:rPr>
                <w:rStyle w:val="row-content"/>
              </w:rPr>
              <w:t xml:space="preserve">See also </w:t>
            </w:r>
            <w:hyperlink w:history="true" r:id="R58b3d98efbc346b6">
              <w:r>
                <w:rPr>
                  <w:rStyle w:val="Hyperlink"/>
                </w:rPr>
                <w:t xml:space="preserve">Data quality statement: National Hospital Morbidity Database 2014–15</w:t>
              </w:r>
            </w:hyperlink>
          </w:p>
          <w:p>
            <w:pPr>
              <w:pStyle w:val="registration-status"/>
              <w:spacing w:before="0" w:after="0"/>
            </w:pPr>
            <w:hyperlink w:history="true" r:id="R12706eb843744dc5">
              <w:r>
                <w:rPr>
                  <w:rStyle w:val="Hyperlink"/>
                  <w:color w:val="244061"/>
                </w:rPr>
                <w:t xml:space="preserve">AIHW Data Quality Statements</w:t>
              </w:r>
            </w:hyperlink>
            <w:r>
              <w:rPr>
                <w:rStyle w:val="row-content"/>
                <w:color w:val="244061"/>
              </w:rPr>
              <w:t xml:space="preserve">, Standard 31/08/2016</w:t>
            </w:r>
          </w:p>
          <w:p>
            <w:r>
              <w:br/>
            </w:r>
          </w:p>
        </w:tc>
      </w:tr>
    </w:tbl>
    <w:p>
      <w:r>
        <w:br/>
      </w:r>
    </w:p>
    <w:sectPr>
      <w:footerReference xmlns:r="http://schemas.openxmlformats.org/officeDocument/2006/relationships" w:type="default" r:id="R80c33ef7ce6144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736411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0763a306014a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c33ef7ce614455" /><Relationship Type="http://schemas.openxmlformats.org/officeDocument/2006/relationships/header" Target="/word/header1.xml" Id="Ra964c57962e14b03" /><Relationship Type="http://schemas.openxmlformats.org/officeDocument/2006/relationships/settings" Target="/word/settings.xml" Id="R3cffcb4b77e144a1" /><Relationship Type="http://schemas.openxmlformats.org/officeDocument/2006/relationships/styles" Target="/word/styles.xml" Id="R6b6e1e65bca9453d" /><Relationship Type="http://schemas.openxmlformats.org/officeDocument/2006/relationships/numbering" Target="/word/numbering.xml" Id="Rfe3c41ce5f774cb4" /><Relationship Type="http://schemas.openxmlformats.org/officeDocument/2006/relationships/hyperlink" Target="https://meteor-uat.aihw.gov.au/RegistrationAuthority/2" TargetMode="External" Id="R8c5a986357ff43d3" /><Relationship Type="http://schemas.openxmlformats.org/officeDocument/2006/relationships/hyperlink" Target="https://meteor-uat.aihw.gov.au/content/723541" TargetMode="External" Id="R45999ca1ed6c4ba2" /><Relationship Type="http://schemas.openxmlformats.org/officeDocument/2006/relationships/hyperlink" Target="https://meteor-uat.aihw.gov.au/RegistrationAuthority/2" TargetMode="External" Id="R692807fa0a6f4304" /><Relationship Type="http://schemas.openxmlformats.org/officeDocument/2006/relationships/hyperlink" Target="https://meteor-uat.aihw.gov.au/content/638202" TargetMode="External" Id="Rd82979c6d44f45a0" /><Relationship Type="http://schemas.openxmlformats.org/officeDocument/2006/relationships/hyperlink" Target="https://meteor-uat.aihw.gov.au/RegistrationAuthority/8" TargetMode="External" Id="R0319f5eaee8048c2" /><Relationship Type="http://schemas.openxmlformats.org/officeDocument/2006/relationships/hyperlink" Target="https://meteor-uat.aihw.gov.au/content/327276" TargetMode="External" Id="Rf11482a051b04adf" /><Relationship Type="http://schemas.openxmlformats.org/officeDocument/2006/relationships/hyperlink" Target="https://meteor-uat.aihw.gov.au/content/269967" TargetMode="External" Id="Ra7e7075bed8142a9" /><Relationship Type="http://schemas.openxmlformats.org/officeDocument/2006/relationships/hyperlink" Target="https://meteor-uat.aihw.gov.au/content/394352" TargetMode="External" Id="Rfcfab1bc376e4137" /><Relationship Type="http://schemas.openxmlformats.org/officeDocument/2006/relationships/hyperlink" Target="https://meteor-uat.aihw.gov.au/content/588987" TargetMode="External" Id="Rd11cdc552a4b4086" /><Relationship Type="http://schemas.openxmlformats.org/officeDocument/2006/relationships/hyperlink" Target="https://meteor-uat.aihw.gov.au/content/394352" TargetMode="External" Id="R85dd12cff2c94427" /><Relationship Type="http://schemas.openxmlformats.org/officeDocument/2006/relationships/hyperlink" Target="https://meteor-uat.aihw.gov.au/content/588909" TargetMode="External" Id="R8224bb93f2284199" /><Relationship Type="http://schemas.openxmlformats.org/officeDocument/2006/relationships/hyperlink" Target="https://meteor-uat.aihw.gov.au/content/588987" TargetMode="External" Id="R718407951ed14c8b" /><Relationship Type="http://schemas.openxmlformats.org/officeDocument/2006/relationships/hyperlink" Target="https://meteor-uat.aihw.gov.au/content/394352" TargetMode="External" Id="R0dac05695bb3464f" /><Relationship Type="http://schemas.openxmlformats.org/officeDocument/2006/relationships/hyperlink" Target="https://meteor-uat.aihw.gov.au/content/612171" TargetMode="External" Id="R0e6dbe94d28644d6" /><Relationship Type="http://schemas.openxmlformats.org/officeDocument/2006/relationships/hyperlink" Target="https://meteor-uat.aihw.gov.au/content/589101" TargetMode="External" Id="Rb0c757906316410c" /><Relationship Type="http://schemas.openxmlformats.org/officeDocument/2006/relationships/hyperlink" Target="https://meteor-uat.aihw.gov.au/content/394352" TargetMode="External" Id="R1db5e40be4214cd3" /><Relationship Type="http://schemas.openxmlformats.org/officeDocument/2006/relationships/hyperlink" Target="https://meteor-uat.aihw.gov.au/content/588909" TargetMode="External" Id="Rc4f2a1c42c0945b4" /><Relationship Type="http://schemas.openxmlformats.org/officeDocument/2006/relationships/hyperlink" Target="https://meteor-uat.aihw.gov.au/content/589101" TargetMode="External" Id="Ra5efcafe38e14f79" /><Relationship Type="http://schemas.openxmlformats.org/officeDocument/2006/relationships/hyperlink" Target="https://meteor-uat.aihw.gov.au/content/394352" TargetMode="External" Id="R6e35baed0c2c44f9" /><Relationship Type="http://schemas.openxmlformats.org/officeDocument/2006/relationships/hyperlink" Target="https://meteor-uat.aihw.gov.au/content/612171" TargetMode="External" Id="Rdb7fc2acaa134f0e" /><Relationship Type="http://schemas.openxmlformats.org/officeDocument/2006/relationships/hyperlink" Target="https://meteor-uat.aihw.gov.au/content/602450" TargetMode="External" Id="R4d44d4e3c6674a73" /><Relationship Type="http://schemas.openxmlformats.org/officeDocument/2006/relationships/hyperlink" Target="https://meteor-uat.aihw.gov.au/content/394352" TargetMode="External" Id="R9eae9d3d71e34349" /><Relationship Type="http://schemas.openxmlformats.org/officeDocument/2006/relationships/hyperlink" Target="https://meteor-uat.aihw.gov.au/content/641379" TargetMode="External" Id="Rc2762723a0a843e0" /><Relationship Type="http://schemas.openxmlformats.org/officeDocument/2006/relationships/hyperlink" Target="https://meteor-uat.aihw.gov.au/content/394352" TargetMode="External" Id="R29c3fc7c7a794471" /><Relationship Type="http://schemas.openxmlformats.org/officeDocument/2006/relationships/hyperlink" Target="https://meteor-uat.aihw.gov.au/content/641349" TargetMode="External" Id="Rb087ebd0cefe4d73" /><Relationship Type="http://schemas.openxmlformats.org/officeDocument/2006/relationships/hyperlink" Target="https://meteor-uat.aihw.gov.au/content/651997" TargetMode="External" Id="Rca1b27704d9d4c40" /><Relationship Type="http://schemas.openxmlformats.org/officeDocument/2006/relationships/hyperlink" Target="https://meteor-uat.aihw.gov.au/content/394352" TargetMode="External" Id="Re0bd9b22b73e4fbb" /><Relationship Type="http://schemas.openxmlformats.org/officeDocument/2006/relationships/hyperlink" Target="https://meteor-uat.aihw.gov.au/content/680976" TargetMode="External" Id="R0e99fa90f3c84979" /><Relationship Type="http://schemas.openxmlformats.org/officeDocument/2006/relationships/hyperlink" Target="https://meteor-uat.aihw.gov.au/content/394352" TargetMode="External" Id="R82c4a0ac74f5449e" /><Relationship Type="http://schemas.openxmlformats.org/officeDocument/2006/relationships/hyperlink" Target="https://meteor-uat.aihw.gov.au/content/641349" TargetMode="External" Id="Rd0a7ee6097d94323" /><Relationship Type="http://schemas.openxmlformats.org/officeDocument/2006/relationships/hyperlink" Target="https://meteor-uat.aihw.gov.au/content/287007" TargetMode="External" Id="Rdabe1dadf27c41dd" /><Relationship Type="http://schemas.openxmlformats.org/officeDocument/2006/relationships/hyperlink" Target="https://meteor-uat.aihw.gov.au/content/394352" TargetMode="External" Id="Rdad918db5b0e4557" /><Relationship Type="http://schemas.openxmlformats.org/officeDocument/2006/relationships/hyperlink" Target="https://meteor-uat.aihw.gov.au/content/391326" TargetMode="External" Id="Rdd834b7f65e14d58" /><Relationship Type="http://schemas.openxmlformats.org/officeDocument/2006/relationships/hyperlink" Target="https://meteor-uat.aihw.gov.au/content/394352" TargetMode="External" Id="R653843483e41460c" /><Relationship Type="http://schemas.openxmlformats.org/officeDocument/2006/relationships/hyperlink" Target="https://meteor-uat.aihw.gov.au/content/466132" TargetMode="External" Id="Rd2489cb0c5ea48d1" /><Relationship Type="http://schemas.openxmlformats.org/officeDocument/2006/relationships/hyperlink" Target="https://meteor-uat.aihw.gov.au/content/391349" TargetMode="External" Id="R589dfeaca0ab46b5" /><Relationship Type="http://schemas.openxmlformats.org/officeDocument/2006/relationships/hyperlink" Target="https://meteor-uat.aihw.gov.au/content/394352" TargetMode="External" Id="Rf5dce307667c4eba" /><Relationship Type="http://schemas.openxmlformats.org/officeDocument/2006/relationships/hyperlink" Target="https://meteor-uat.aihw.gov.au/content/466132" TargetMode="External" Id="R62acdfcd40fb40b8" /><Relationship Type="http://schemas.openxmlformats.org/officeDocument/2006/relationships/hyperlink" Target="https://meteor-uat.aihw.gov.au/content/514040" TargetMode="External" Id="R5597df1b2ffd4fe7" /><Relationship Type="http://schemas.openxmlformats.org/officeDocument/2006/relationships/hyperlink" Target="https://meteor-uat.aihw.gov.au/content/394352" TargetMode="External" Id="R503235f581254fd2" /><Relationship Type="http://schemas.openxmlformats.org/officeDocument/2006/relationships/hyperlink" Target="https://meteor-uat.aihw.gov.au/content/491555" TargetMode="External" Id="R1ca6f76ee2874a21" /><Relationship Type="http://schemas.openxmlformats.org/officeDocument/2006/relationships/hyperlink" Target="https://meteor-uat.aihw.gov.au/content/514040" TargetMode="External" Id="R771ad820af724181" /><Relationship Type="http://schemas.openxmlformats.org/officeDocument/2006/relationships/hyperlink" Target="https://meteor-uat.aihw.gov.au/content/394352" TargetMode="External" Id="R55862cfd474d4775" /><Relationship Type="http://schemas.openxmlformats.org/officeDocument/2006/relationships/hyperlink" Target="https://meteor-uat.aihw.gov.au/content/535047" TargetMode="External" Id="R2d92025f8e814838" /><Relationship Type="http://schemas.openxmlformats.org/officeDocument/2006/relationships/hyperlink" Target="https://meteor-uat.aihw.gov.au/content/514273" TargetMode="External" Id="Rf06949cc28d145ab" /><Relationship Type="http://schemas.openxmlformats.org/officeDocument/2006/relationships/hyperlink" Target="https://meteor-uat.aihw.gov.au/content/394352" TargetMode="External" Id="Re291732e7b734686" /><Relationship Type="http://schemas.openxmlformats.org/officeDocument/2006/relationships/hyperlink" Target="https://meteor-uat.aihw.gov.au/content/491555" TargetMode="External" Id="Rbeb2738f8a4d40f8" /><Relationship Type="http://schemas.openxmlformats.org/officeDocument/2006/relationships/hyperlink" Target="https://meteor-uat.aihw.gov.au/content/514273" TargetMode="External" Id="R16d32247ab494649" /><Relationship Type="http://schemas.openxmlformats.org/officeDocument/2006/relationships/hyperlink" Target="https://meteor-uat.aihw.gov.au/content/394352" TargetMode="External" Id="R155a1622b04a48ff" /><Relationship Type="http://schemas.openxmlformats.org/officeDocument/2006/relationships/hyperlink" Target="https://meteor-uat.aihw.gov.au/content/535047" TargetMode="External" Id="R0d3f6c07dec24579" /><Relationship Type="http://schemas.openxmlformats.org/officeDocument/2006/relationships/hyperlink" Target="https://meteor-uat.aihw.gov.au/content/584408" TargetMode="External" Id="R47606d941ba44473" /><Relationship Type="http://schemas.openxmlformats.org/officeDocument/2006/relationships/hyperlink" Target="https://meteor-uat.aihw.gov.au/content/394352" TargetMode="External" Id="Re1f8735d8d284d67" /><Relationship Type="http://schemas.openxmlformats.org/officeDocument/2006/relationships/hyperlink" Target="https://meteor-uat.aihw.gov.au/content/388656" TargetMode="External" Id="R87476f09a131481f" /><Relationship Type="http://schemas.openxmlformats.org/officeDocument/2006/relationships/hyperlink" Target="https://meteor-uat.aihw.gov.au/content/657459" TargetMode="External" Id="R858f5c0246f04c20" /><Relationship Type="http://schemas.openxmlformats.org/officeDocument/2006/relationships/hyperlink" Target="https://meteor-uat.aihw.gov.au/content/269967" TargetMode="External" Id="R6e68749ffa1f4ad4" /><Relationship Type="http://schemas.openxmlformats.org/officeDocument/2006/relationships/hyperlink" Target="https://meteor-uat.aihw.gov.au/content/394352" TargetMode="External" Id="R2dcde3e340cc436a" /><Relationship Type="http://schemas.openxmlformats.org/officeDocument/2006/relationships/hyperlink" Target="https://meteor-uat.aihw.gov.au/content/269977" TargetMode="External" Id="Re7568de998e34470" /><Relationship Type="http://schemas.openxmlformats.org/officeDocument/2006/relationships/hyperlink" Target="https://meteor-uat.aihw.gov.au/content/394352" TargetMode="External" Id="Ra04bd6527ce347ad" /><Relationship Type="http://schemas.openxmlformats.org/officeDocument/2006/relationships/hyperlink" Target="https://safetyandquality.gov.au/publications-and-resources/resource-library/fourth-atlas-2021-technical-supplement" TargetMode="External" Id="R4354a725fac84eea" /><Relationship Type="http://schemas.openxmlformats.org/officeDocument/2006/relationships/hyperlink" Target="https://meteor-uat.aihw.gov.au/content/287007" TargetMode="External" Id="R89dd5f4bc90341ca" /><Relationship Type="http://schemas.openxmlformats.org/officeDocument/2006/relationships/hyperlink" Target="https://meteor-uat.aihw.gov.au/content/394352" TargetMode="External" Id="R7a131e066f074e1a" /><Relationship Type="http://schemas.openxmlformats.org/officeDocument/2006/relationships/hyperlink" Target="https://meteor-uat.aihw.gov.au/content/326619" TargetMode="External" Id="R8086a21318674e02" /><Relationship Type="http://schemas.openxmlformats.org/officeDocument/2006/relationships/hyperlink" Target="https://meteor-uat.aihw.gov.au/content/394352" TargetMode="External" Id="Re4004cfce3394667" /><Relationship Type="http://schemas.openxmlformats.org/officeDocument/2006/relationships/hyperlink" Target="https://meteor-uat.aihw.gov.au/content/649391" TargetMode="External" Id="R1d2ae8add0344aa1" /><Relationship Type="http://schemas.openxmlformats.org/officeDocument/2006/relationships/hyperlink" Target="https://meteor-uat.aihw.gov.au/content/394352" TargetMode="External" Id="Rb48f5cb1593b4c1e" /><Relationship Type="http://schemas.openxmlformats.org/officeDocument/2006/relationships/hyperlink" Target="https://meteor-uat.aihw.gov.au/content/659725" TargetMode="External" Id="R7cb4bf2589de498b" /><Relationship Type="http://schemas.openxmlformats.org/officeDocument/2006/relationships/hyperlink" Target="https://meteor-uat.aihw.gov.au/content/394352" TargetMode="External" Id="Ra5b9fa4e329e448c" /><Relationship Type="http://schemas.openxmlformats.org/officeDocument/2006/relationships/hyperlink" Target="https://meteor-uat.aihw.gov.au/content/657459" TargetMode="External" Id="R32bb2e1b113d4909" /><Relationship Type="http://schemas.openxmlformats.org/officeDocument/2006/relationships/hyperlink" Target="https://meteor-uat.aihw.gov.au/content/394352" TargetMode="External" Id="R091aca475bc049b4" /><Relationship Type="http://schemas.openxmlformats.org/officeDocument/2006/relationships/hyperlink" Target="https://meteor-uat.aihw.gov.au/content/449216" TargetMode="External" Id="R79d7a227341a46d2" /><Relationship Type="http://schemas.openxmlformats.org/officeDocument/2006/relationships/hyperlink" Target="https://meteor-uat.aihw.gov.au/RegistrationAuthority/14" TargetMode="External" Id="Rabe618de09254fe2" /><Relationship Type="http://schemas.openxmlformats.org/officeDocument/2006/relationships/hyperlink" Target="https://meteor-uat.aihw.gov.au/content/449223" TargetMode="External" Id="R252b60ba564b4c3a" /><Relationship Type="http://schemas.openxmlformats.org/officeDocument/2006/relationships/hyperlink" Target="https://meteor-uat.aihw.gov.au/RegistrationAuthority/14" TargetMode="External" Id="R63a1b4f3a3d54148" /><Relationship Type="http://schemas.openxmlformats.org/officeDocument/2006/relationships/hyperlink" Target="https://meteor-uat.aihw.gov.au/RegistrationAuthority/9" TargetMode="External" Id="R82c8c37528f8473c" /><Relationship Type="http://schemas.openxmlformats.org/officeDocument/2006/relationships/hyperlink" Target="https://meteor-uat.aihw.gov.au/content/675493" TargetMode="External" Id="R2e9038343b8347af" /><Relationship Type="http://schemas.openxmlformats.org/officeDocument/2006/relationships/hyperlink" Target="https://meteor-uat.aihw.gov.au/RegistrationAuthority/2" TargetMode="External" Id="R1eaa391ce1734614" /><Relationship Type="http://schemas.openxmlformats.org/officeDocument/2006/relationships/hyperlink" Target="https://meteor-uat.aihw.gov.au/content/639980" TargetMode="External" Id="Rb77f3d3ac77c4c8a" /><Relationship Type="http://schemas.openxmlformats.org/officeDocument/2006/relationships/hyperlink" Target="https://meteor-uat.aihw.gov.au/RegistrationAuthority/2" TargetMode="External" Id="R9dbd5f60622c4920" /><Relationship Type="http://schemas.openxmlformats.org/officeDocument/2006/relationships/hyperlink" Target="https://meteor-uat.aihw.gov.au/content/723825" TargetMode="External" Id="Re2ad9e1973ff4170" /><Relationship Type="http://schemas.openxmlformats.org/officeDocument/2006/relationships/hyperlink" Target="https://meteor-uat.aihw.gov.au/RegistrationAuthority/8" TargetMode="External" Id="Re3a0ac4e41f044c4" /><Relationship Type="http://schemas.openxmlformats.org/officeDocument/2006/relationships/hyperlink" Target="https://meteor-uat.aihw.gov.au/content/724186" TargetMode="External" Id="Rc1bf10087d8a451b" /><Relationship Type="http://schemas.openxmlformats.org/officeDocument/2006/relationships/hyperlink" Target="https://meteor-uat.aihw.gov.au/RegistrationAuthority/8" TargetMode="External" Id="R83f759e1120449f6" /><Relationship Type="http://schemas.openxmlformats.org/officeDocument/2006/relationships/hyperlink" Target="https://meteor-uat.aihw.gov.au/content/724188" TargetMode="External" Id="Red9201b236d346e3" /><Relationship Type="http://schemas.openxmlformats.org/officeDocument/2006/relationships/hyperlink" Target="https://meteor-uat.aihw.gov.au/RegistrationAuthority/8" TargetMode="External" Id="R3dcee85209fa484c" /><Relationship Type="http://schemas.openxmlformats.org/officeDocument/2006/relationships/hyperlink" Target="https://meteor-uat.aihw.gov.au/content/611030" TargetMode="External" Id="Ra4406e48e1f849d4" /><Relationship Type="http://schemas.openxmlformats.org/officeDocument/2006/relationships/hyperlink" Target="https://meteor-uat.aihw.gov.au/RegistrationAuthority/8" TargetMode="External" Id="R0d4f7d7d5f104bfc" /><Relationship Type="http://schemas.openxmlformats.org/officeDocument/2006/relationships/hyperlink" Target="https://meteor-uat.aihw.gov.au/content/638202" TargetMode="External" Id="R58b3d98efbc346b6" /><Relationship Type="http://schemas.openxmlformats.org/officeDocument/2006/relationships/hyperlink" Target="https://meteor-uat.aihw.gov.au/RegistrationAuthority/8" TargetMode="External" Id="R12706eb843744dc5" /></Relationships>
</file>

<file path=word/_rels/header1.xml.rels>&#65279;<?xml version="1.0" encoding="utf-8"?><Relationships xmlns="http://schemas.openxmlformats.org/package/2006/relationships"><Relationship Type="http://schemas.openxmlformats.org/officeDocument/2006/relationships/image" Target="/media/image.png" Id="Rfe0763a306014a91" /></Relationships>
</file>