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e1272736ff4b5d"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05a-Evidence of a locally approved policy that defines the local protocol to support PIVC insertion on first attempt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05a-Evidence of a locally approved policy that defines the local protocol to support PIVC insertion on first attempt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5a-Evidence of a locally approved policy that defines the local protocol to support PIVC insertion on first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1ec0c694b488a">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a locally approved policy that defines the local protocol to support PIVC insertion on first attempt.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failed insertion attempts increase the risk of device failure, cause patients undue pain and anxiety and can reduce access to veins for future health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0b9757fc244bcf">
              <w:r>
                <w:rPr>
                  <w:rStyle w:val="Hyperlink"/>
                </w:rPr>
                <w:t xml:space="preserve">Clinical care standard indicators: Management of Peripheral Intravenous Catheters </w:t>
              </w:r>
            </w:hyperlink>
          </w:p>
          <w:p>
            <w:pPr>
              <w:pStyle w:val="registration-status"/>
              <w:spacing w:before="0" w:after="0"/>
            </w:pPr>
            <w:hyperlink w:history="true" r:id="Rb6e619c9de6b4f14">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the:</w:t>
            </w:r>
          </w:p>
          <w:p>
            <w:pPr>
              <w:pStyle w:val="ListParagraph"/>
              <w:numPr>
                <w:ilvl w:val="0"/>
                <w:numId w:val="3"/>
              </w:numPr>
            </w:pPr>
            <w:r>
              <w:rPr>
                <w:rStyle w:val="row-content-rich-text"/>
              </w:rPr>
              <w:t xml:space="preserve">Risk assessment process that should be used to identify patients for whom insertion of a PIVC may be more complex</w:t>
            </w:r>
          </w:p>
          <w:p>
            <w:pPr>
              <w:pStyle w:val="ListParagraph"/>
              <w:numPr>
                <w:ilvl w:val="0"/>
                <w:numId w:val="3"/>
              </w:numPr>
            </w:pPr>
            <w:r>
              <w:rPr>
                <w:rStyle w:val="row-content-rich-text"/>
              </w:rPr>
              <w:t xml:space="preserve">Situations when staff should escalate PIVC insertion to more experienced staff and the process to follow</w:t>
            </w:r>
          </w:p>
          <w:p>
            <w:pPr>
              <w:pStyle w:val="ListParagraph"/>
              <w:numPr>
                <w:ilvl w:val="0"/>
                <w:numId w:val="3"/>
              </w:numPr>
            </w:pPr>
            <w:r>
              <w:rPr>
                <w:rStyle w:val="row-content-rich-text"/>
              </w:rPr>
              <w:t xml:space="preserve">Clinical situations when more than one attempt is appropriate, and</w:t>
            </w:r>
          </w:p>
          <w:p>
            <w:pPr>
              <w:pStyle w:val="ListParagraph"/>
              <w:numPr>
                <w:ilvl w:val="0"/>
                <w:numId w:val="3"/>
              </w:numPr>
            </w:pPr>
            <w:r>
              <w:rPr>
                <w:rStyle w:val="row-content-rich-text"/>
              </w:rPr>
              <w:t xml:space="preserve">Organisation’s process to assess adherence to, and outcomes of the policy.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63cd78406382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3737fa548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d78406382429d" /><Relationship Type="http://schemas.openxmlformats.org/officeDocument/2006/relationships/header" Target="/word/header1.xml" Id="R99b740b5be9544a9" /><Relationship Type="http://schemas.openxmlformats.org/officeDocument/2006/relationships/settings" Target="/word/settings.xml" Id="Re7f0626307c24bbe" /><Relationship Type="http://schemas.openxmlformats.org/officeDocument/2006/relationships/styles" Target="/word/styles.xml" Id="R4a91be8db4e44340" /><Relationship Type="http://schemas.openxmlformats.org/officeDocument/2006/relationships/numbering" Target="/word/numbering.xml" Id="Rfa6d687b12aa4f66" /><Relationship Type="http://schemas.openxmlformats.org/officeDocument/2006/relationships/hyperlink" Target="https://meteor-uat.aihw.gov.au/RegistrationAuthority/2" TargetMode="External" Id="R8721ec0c694b488a" /><Relationship Type="http://schemas.openxmlformats.org/officeDocument/2006/relationships/hyperlink" Target="https://meteor-uat.aihw.gov.au/content/732513" TargetMode="External" Id="Rce0b9757fc244bcf" /><Relationship Type="http://schemas.openxmlformats.org/officeDocument/2006/relationships/hyperlink" Target="https://meteor-uat.aihw.gov.au/RegistrationAuthority/2" TargetMode="External" Id="Rb6e619c9de6b4f14" /></Relationships>
</file>

<file path=word/_rels/header1.xml.rels>&#65279;<?xml version="1.0" encoding="utf-8"?><Relationships xmlns="http://schemas.openxmlformats.org/package/2006/relationships"><Relationship Type="http://schemas.openxmlformats.org/officeDocument/2006/relationships/image" Target="/media/image.png" Id="R6863737fa548489f" /></Relationships>
</file>