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5dc0a0d1864094" /></Relationships>
</file>

<file path=word/document.xml><?xml version="1.0" encoding="utf-8"?>
<w:document xmlns:r="http://schemas.openxmlformats.org/officeDocument/2006/relationships" xmlns:w="http://schemas.openxmlformats.org/wordprocessingml/2006/main">
  <w:body>
    <w:p>
      <w:pPr>
        <w:pStyle w:val="Title"/>
      </w:pPr>
      <w:r>
        <w:t>Primary Health Network female regular clients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female regular clients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7b5729b154cd1">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female regular clients cluster is intended for use within the Practice incentives program eligible data set NBEDS (PIP EDS NBEDS). These data elements are used in conjunction with each other to describe the count of the total number of female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f3ba257e644b468a">
              <w:r>
                <w:rPr>
                  <w:rStyle w:val="Hyperlink"/>
                  <w:b/>
                </w:rPr>
                <w:t xml:space="preserve">regular clients</w:t>
              </w:r>
            </w:hyperlink>
            <w:r>
              <w:rPr>
                <w:rStyle w:val="row-content-rich-text"/>
              </w:rPr>
              <w:t xml:space="preserve"> of service providers within a Primary Health Network, disaggregated by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are used together to provide a count of regular female clients, disaggregated by the various permutations of their age ranges and Indigenous status, as demonstrated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Indigenous Status</w:t>
                  </w:r>
                </w:p>
              </w:tc>
              <w:tc>
                <w:tcPr>
                  <w:tcW w:w="850" w:type="pct"/>
                  <w:vAlign w:val="top"/>
                </w:tcPr>
                <w:p>
                  <w:r>
                    <w:rPr>
                      <w:b/>
                    </w:rPr>
                    <w:t xml:space="preserve">Age</w:t>
                  </w:r>
                </w:p>
              </w:tc>
              <w:tc>
                <w:tcPr>
                  <w:tcW w:w="1600" w:type="pct"/>
                  <w:vAlign w:val="top"/>
                </w:tcPr>
                <w:p>
                  <w:r>
                    <w:rPr>
                      <w:b/>
                    </w:rPr>
                    <w:t xml:space="preserve">Total</w:t>
                  </w:r>
                </w:p>
              </w:tc>
            </w:tr>
            <w:tr>
              <w:trPr/>
              <w:tc>
                <w:tcPr>
                  <w:tcW w:w="2500" w:type="pct"/>
                  <w:vAlign w:val="top"/>
                </w:tcPr>
                <w:p>
                  <w:r>
                    <w:t xml:space="preserve">Indigenous Australian</w:t>
                  </w:r>
                </w:p>
              </w:tc>
              <w:tc>
                <w:tcPr>
                  <w:tcW w:w="850" w:type="pct"/>
                  <w:vAlign w:val="top"/>
                </w:tcPr>
                <w:p>
                  <w:r>
                    <w:t xml:space="preserve">25-34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35-44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45-54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54-64</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65-69</w:t>
                  </w:r>
                </w:p>
              </w:tc>
              <w:tc>
                <w:tcPr>
                  <w:tcW w:w="1600" w:type="pct"/>
                  <w:vAlign w:val="top"/>
                </w:tcPr>
                <w:p>
                  <w:r>
                    <w:t xml:space="preserve">N[NNNNNN]</w:t>
                  </w:r>
                </w:p>
              </w:tc>
            </w:tr>
            <w:tr>
              <w:trPr/>
              <w:tc>
                <w:tcPr>
                  <w:tcW w:w="2500" w:type="pct"/>
                  <w:vAlign w:val="top"/>
                </w:tcPr>
                <w:p>
                  <w:r>
                    <w:t xml:space="preserve">Indigenous Australian</w:t>
                  </w:r>
                </w:p>
              </w:tc>
              <w:tc>
                <w:tcPr>
                  <w:tcW w:w="850" w:type="pct"/>
                  <w:vAlign w:val="top"/>
                </w:tcPr>
                <w:p>
                  <w:r>
                    <w:t xml:space="preserve">70-74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25-34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35-44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45-54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55-64</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65-69</w:t>
                  </w:r>
                </w:p>
              </w:tc>
              <w:tc>
                <w:tcPr>
                  <w:tcW w:w="1600" w:type="pct"/>
                  <w:vAlign w:val="top"/>
                </w:tcPr>
                <w:p>
                  <w:r>
                    <w:t xml:space="preserve">N[NNNNNN]</w:t>
                  </w:r>
                </w:p>
              </w:tc>
            </w:tr>
            <w:tr>
              <w:trPr/>
              <w:tc>
                <w:tcPr>
                  <w:tcW w:w="2500" w:type="pct"/>
                  <w:vAlign w:val="top"/>
                </w:tcPr>
                <w:p>
                  <w:r>
                    <w:t xml:space="preserve">Non-Indigenous Australian</w:t>
                  </w:r>
                </w:p>
              </w:tc>
              <w:tc>
                <w:tcPr>
                  <w:tcW w:w="850" w:type="pct"/>
                  <w:vAlign w:val="top"/>
                </w:tcPr>
                <w:p>
                  <w:r>
                    <w:t xml:space="preserve">70-74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25-34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35-44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45-54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55-64</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65-69</w:t>
                  </w:r>
                </w:p>
              </w:tc>
              <w:tc>
                <w:tcPr>
                  <w:tcW w:w="1600" w:type="pct"/>
                  <w:vAlign w:val="top"/>
                </w:tcPr>
                <w:p>
                  <w:r>
                    <w:t xml:space="preserve">N[NNNNNN]</w:t>
                  </w:r>
                </w:p>
              </w:tc>
            </w:tr>
            <w:tr>
              <w:trPr/>
              <w:tc>
                <w:tcPr>
                  <w:tcW w:w="2500" w:type="pct"/>
                  <w:vAlign w:val="top"/>
                </w:tcPr>
                <w:p>
                  <w:r>
                    <w:t xml:space="preserve">Not stated/inadequately described</w:t>
                  </w:r>
                </w:p>
              </w:tc>
              <w:tc>
                <w:tcPr>
                  <w:tcW w:w="850" w:type="pct"/>
                  <w:vAlign w:val="top"/>
                </w:tcPr>
                <w:p>
                  <w:r>
                    <w:t xml:space="preserve">70-74</w:t>
                  </w:r>
                </w:p>
              </w:tc>
              <w:tc>
                <w:tcPr>
                  <w:tcW w:w="1600" w:type="pct"/>
                  <w:vAlign w:val="top"/>
                </w:tcPr>
                <w:p>
                  <w:r>
                    <w:t xml:space="preserve">N[NNNNNN]</w:t>
                  </w:r>
                </w:p>
              </w:tc>
            </w:tr>
            <w:tr>
              <w:trPr/>
              <w:tc>
                <w:tcPr>
                  <w:tcW w:w="2500" w:type="pct"/>
                  <w:vAlign w:val="top"/>
                </w:tcPr>
                <w:p>
                  <w:r>
                    <w:t xml:space="preserve">Total</w:t>
                  </w:r>
                </w:p>
              </w:tc>
              <w:tc>
                <w:tcPr>
                  <w:tcW w:w="850" w:type="pct"/>
                  <w:vAlign w:val="top"/>
                </w:tcPr>
                <w:p>
                  <w:r>
                    <w:t xml:space="preserve"> </w:t>
                  </w:r>
                </w:p>
              </w:tc>
              <w:tc>
                <w:tcPr>
                  <w:tcW w:w="160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female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a32b587fc34f4c58">
              <w:r>
                <w:rPr>
                  <w:rStyle w:val="Hyperlink"/>
                  <w:b/>
                </w:rPr>
                <w:t xml:space="preserve">regular client</w:t>
              </w:r>
            </w:hyperlink>
            <w:r>
              <w:rPr>
                <w:rStyle w:val="row-content-rich-text"/>
              </w:rPr>
              <w:t xml:space="preserve">, aged 25 to 74 inclusive, who has not had a hysterectomy.</w:t>
            </w:r>
          </w:p>
          <w:p>
            <w:pPr>
              <w:spacing w:after="160"/>
            </w:pPr>
            <w:r>
              <w:rPr>
                <w:rStyle w:val="row-content-rich-text"/>
              </w:rPr>
              <w:t xml:space="preserve">As opposed to other clusters collected in the PIP EDS NBEDS, the data should be disaggregated by age (derived from date of birth and taken as at the last day of the data collection period) as follows:</w:t>
            </w:r>
          </w:p>
          <w:p>
            <w:pPr>
              <w:pStyle w:val="ListParagraph"/>
              <w:numPr>
                <w:ilvl w:val="0"/>
                <w:numId w:val="2"/>
              </w:numPr>
            </w:pPr>
            <w:r>
              <w:rPr>
                <w:rStyle w:val="row-content-rich-text"/>
              </w:rPr>
              <w:t xml:space="preserve">25-34 years</w:t>
            </w:r>
          </w:p>
          <w:p>
            <w:pPr>
              <w:pStyle w:val="ListParagraph"/>
              <w:numPr>
                <w:ilvl w:val="0"/>
                <w:numId w:val="2"/>
              </w:numPr>
            </w:pPr>
            <w:r>
              <w:rPr>
                <w:rStyle w:val="row-content-rich-text"/>
              </w:rPr>
              <w:t xml:space="preserve">35-44 years</w:t>
            </w:r>
          </w:p>
          <w:p>
            <w:pPr>
              <w:pStyle w:val="ListParagraph"/>
              <w:numPr>
                <w:ilvl w:val="0"/>
                <w:numId w:val="2"/>
              </w:numPr>
            </w:pPr>
            <w:r>
              <w:rPr>
                <w:rStyle w:val="row-content-rich-text"/>
              </w:rPr>
              <w:t xml:space="preserve">45-54 years</w:t>
            </w:r>
          </w:p>
          <w:p>
            <w:pPr>
              <w:pStyle w:val="ListParagraph"/>
              <w:numPr>
                <w:ilvl w:val="0"/>
                <w:numId w:val="2"/>
              </w:numPr>
            </w:pPr>
            <w:r>
              <w:rPr>
                <w:rStyle w:val="row-content-rich-text"/>
              </w:rPr>
              <w:t xml:space="preserve">55-64 years</w:t>
            </w:r>
          </w:p>
          <w:p>
            <w:pPr>
              <w:pStyle w:val="ListParagraph"/>
              <w:numPr>
                <w:ilvl w:val="0"/>
                <w:numId w:val="2"/>
              </w:numPr>
            </w:pPr>
            <w:r>
              <w:rPr>
                <w:rStyle w:val="row-content-rich-text"/>
              </w:rPr>
              <w:t xml:space="preserve">65-69 years</w:t>
            </w:r>
          </w:p>
          <w:p>
            <w:pPr>
              <w:pStyle w:val="ListParagraph"/>
              <w:numPr>
                <w:ilvl w:val="0"/>
                <w:numId w:val="2"/>
              </w:numPr>
            </w:pPr>
            <w:r>
              <w:rPr>
                <w:rStyle w:val="row-content-rich-text"/>
              </w:rPr>
              <w:t xml:space="preserve">70-74 years</w:t>
            </w:r>
          </w:p>
          <w:p>
            <w:pPr/>
            <w:r>
              <w:rPr>
                <w:rStyle w:val="row-content-rich-text"/>
              </w:rPr>
              <w:t xml:space="preserve">Other disaggregations as specified generally in the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'female' is used in reference to a person's biological characteristics. See the Guide for use of </w:t>
            </w:r>
            <w:hyperlink w:history="true" r:id="Rec70f280e7f346f7">
              <w:r>
                <w:rPr>
                  <w:rStyle w:val="Hyperlink"/>
                </w:rPr>
                <w:t xml:space="preserve">Person—sex, code X</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d20a0e5c44a7c">
              <w:r>
                <w:rPr>
                  <w:rStyle w:val="Hyperlink"/>
                </w:rPr>
                <w:t xml:space="preserve">Practice incentives program eligible data set NBEDS 2020–21</w:t>
              </w:r>
            </w:hyperlink>
          </w:p>
          <w:p>
            <w:pPr>
              <w:pStyle w:val="registration-status"/>
              <w:spacing w:before="0" w:after="0"/>
            </w:pPr>
            <w:hyperlink w:history="true" r:id="Rac69d6e1ba744ba9">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Practice incentives program eligible data set NBEDS, data is collected for every female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1ecfd1a2898842a3">
              <w:r>
                <w:rPr>
                  <w:rStyle w:val="Hyperlink"/>
                  <w:b/>
                </w:rPr>
                <w:t xml:space="preserve">regular client</w:t>
              </w:r>
            </w:hyperlink>
            <w:r>
              <w:rPr>
                <w:rStyle w:val="row-content"/>
              </w:rPr>
              <w:t xml:space="preserve">, aged 25 to 74 inclusive, who has not had a hysterectomy.</w:t>
            </w:r>
          </w:p>
          <w:p>
            <w:r>
              <w:rPr>
                <w:rStyle w:val="row-content"/>
              </w:rPr>
              <w:t xml:space="preserve">As opposed to other clusters collected in the PIP EDS NBEDS, the data should be disaggregated by age (derived from date of birth and taken as at the last day of the data collection period) as follows:</w:t>
            </w:r>
          </w:p>
          <w:p>
            <w:pPr>
              <w:pStyle w:val="ListParagraph"/>
              <w:numPr>
                <w:ilvl w:val="0"/>
                <w:numId w:val="3"/>
              </w:numPr>
            </w:pPr>
            <w:r>
              <w:rPr>
                <w:rStyle w:val="row-content"/>
              </w:rPr>
              <w:t xml:space="preserve">25-34 years</w:t>
            </w:r>
          </w:p>
          <w:p>
            <w:pPr>
              <w:pStyle w:val="ListParagraph"/>
              <w:numPr>
                <w:ilvl w:val="0"/>
                <w:numId w:val="3"/>
              </w:numPr>
            </w:pPr>
            <w:r>
              <w:rPr>
                <w:rStyle w:val="row-content"/>
              </w:rPr>
              <w:t xml:space="preserve">35-44 years</w:t>
            </w:r>
          </w:p>
          <w:p>
            <w:pPr>
              <w:pStyle w:val="ListParagraph"/>
              <w:numPr>
                <w:ilvl w:val="0"/>
                <w:numId w:val="3"/>
              </w:numPr>
            </w:pPr>
            <w:r>
              <w:rPr>
                <w:rStyle w:val="row-content"/>
              </w:rPr>
              <w:t xml:space="preserve">45-54 years</w:t>
            </w:r>
          </w:p>
          <w:p>
            <w:pPr>
              <w:pStyle w:val="ListParagraph"/>
              <w:numPr>
                <w:ilvl w:val="0"/>
                <w:numId w:val="3"/>
              </w:numPr>
            </w:pPr>
            <w:r>
              <w:rPr>
                <w:rStyle w:val="row-content"/>
              </w:rPr>
              <w:t xml:space="preserve">55-64 years</w:t>
            </w:r>
          </w:p>
          <w:p>
            <w:pPr>
              <w:pStyle w:val="ListParagraph"/>
              <w:numPr>
                <w:ilvl w:val="0"/>
                <w:numId w:val="3"/>
              </w:numPr>
            </w:pPr>
            <w:r>
              <w:rPr>
                <w:rStyle w:val="row-content"/>
              </w:rPr>
              <w:t xml:space="preserve">65-69 years</w:t>
            </w:r>
          </w:p>
          <w:p>
            <w:pPr>
              <w:pStyle w:val="ListParagraph"/>
              <w:numPr>
                <w:ilvl w:val="0"/>
                <w:numId w:val="3"/>
              </w:numPr>
            </w:pPr>
            <w:r>
              <w:rPr>
                <w:rStyle w:val="row-content"/>
              </w:rPr>
              <w:t xml:space="preserve">70-74 years</w:t>
            </w:r>
          </w:p>
          <w:p>
            <w:r>
              <w:rPr>
                <w:rStyle w:val="row-content"/>
              </w:rPr>
              <w:t xml:space="preserve">Other disaggregations are as specified generally in the NBEDS.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ac37d9cfa416d">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88b3aa06b4bde">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2f29b25c24894">
                    <w:r>
                      <w:rPr>
                        <w:rStyle w:val="Hyperlink"/>
                      </w:rPr>
                      <w:t xml:space="preserve">Primary Health Network—number of regular female clients,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343604d7e629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d767aa736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604d7e6294bde" /><Relationship Type="http://schemas.openxmlformats.org/officeDocument/2006/relationships/header" Target="/word/header1.xml" Id="R328fcfaeec4a44b1" /><Relationship Type="http://schemas.openxmlformats.org/officeDocument/2006/relationships/settings" Target="/word/settings.xml" Id="R41f2d00d503241d7" /><Relationship Type="http://schemas.openxmlformats.org/officeDocument/2006/relationships/styles" Target="/word/styles.xml" Id="Ra1bcd705cac1428f" /><Relationship Type="http://schemas.openxmlformats.org/officeDocument/2006/relationships/numbering" Target="/word/numbering.xml" Id="Rdaece5d7d7764174" /><Relationship Type="http://schemas.openxmlformats.org/officeDocument/2006/relationships/hyperlink" Target="https://meteor-uat.aihw.gov.au/RegistrationAuthority/14" TargetMode="External" Id="Rb387b5729b154cd1" /><Relationship Type="http://schemas.openxmlformats.org/officeDocument/2006/relationships/hyperlink" Target="https://meteor-uat.aihw.gov.au/content/729962" TargetMode="External" Id="Rf3ba257e644b468a" /><Relationship Type="http://schemas.openxmlformats.org/officeDocument/2006/relationships/hyperlink" Target="https://meteor-uat.aihw.gov.au/content/729962" TargetMode="External" Id="Ra32b587fc34f4c58" /><Relationship Type="http://schemas.openxmlformats.org/officeDocument/2006/relationships/hyperlink" Target="https://meteor-uat.aihw.gov.au/content/635126" TargetMode="External" Id="Rec70f280e7f346f7" /><Relationship Type="http://schemas.openxmlformats.org/officeDocument/2006/relationships/hyperlink" Target="https://meteor-uat.aihw.gov.au/content/728927" TargetMode="External" Id="Rc07d20a0e5c44a7c" /><Relationship Type="http://schemas.openxmlformats.org/officeDocument/2006/relationships/hyperlink" Target="https://meteor-uat.aihw.gov.au/RegistrationAuthority/14" TargetMode="External" Id="Rac69d6e1ba744ba9" /><Relationship Type="http://schemas.openxmlformats.org/officeDocument/2006/relationships/hyperlink" Target="https://meteor-uat.aihw.gov.au/content/729962" TargetMode="External" Id="R1ecfd1a2898842a3" /><Relationship Type="http://schemas.openxmlformats.org/officeDocument/2006/relationships/hyperlink" Target="https://meteor-uat.aihw.gov.au/content/730216" TargetMode="External" Id="R3d8ac37d9cfa416d" /><Relationship Type="http://schemas.openxmlformats.org/officeDocument/2006/relationships/hyperlink" Target="https://meteor-uat.aihw.gov.au/content/730592" TargetMode="External" Id="R36e88b3aa06b4bde" /><Relationship Type="http://schemas.openxmlformats.org/officeDocument/2006/relationships/hyperlink" Target="https://meteor-uat.aihw.gov.au/content/730436" TargetMode="External" Id="R0532f29b25c24894" /></Relationships>
</file>

<file path=word/_rels/header1.xml.rels>&#65279;<?xml version="1.0" encoding="utf-8"?><Relationships xmlns="http://schemas.openxmlformats.org/package/2006/relationships"><Relationship Type="http://schemas.openxmlformats.org/officeDocument/2006/relationships/image" Target="/media/image.png" Id="R35ad767aa736403c" /></Relationships>
</file>