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29e1ba370a4863"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diabetes mellitus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diabetes mellitus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7ea181ef34bd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diabetes mellitus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ac31574912424682">
              <w:r>
                <w:rPr>
                  <w:rStyle w:val="Hyperlink"/>
                  <w:b/>
                </w:rPr>
                <w:t xml:space="preserve">regular clients</w:t>
              </w:r>
            </w:hyperlink>
            <w:r>
              <w:rPr>
                <w:rStyle w:val="row-content-rich-text"/>
              </w:rPr>
              <w:t xml:space="preserve"> of service providers within a Primary Health Network who have been diagnosed with diabetes mellitus, disaggregated by sex, age range, Indigenous status and diabetes mellitus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been diagnosed with diabetes mellitus, disaggregated by the various permutations of their sex, age ranges, Indigenous status, and diabetes mellitus status, as demonstrated below:</w:t>
            </w:r>
          </w:p>
          <w:tbl>
            <w:tblPr>
              <w:tblStyle w:val="TableGrid"/>
              <w:tblW w:w="5000" w:type="pct"/>
              <w:tblLayout w:type="autofit"/>
            </w:tblPr>
            <w:tblGrid>
              <w:gridCol/>
              <w:gridCol/>
              <w:gridCol/>
              <w:gridCol/>
              <w:gridCol/>
            </w:tblGrid>
            <w:tr>
              <w:trPr/>
              <w:tc>
                <w:tcPr>
                  <w:tcW w:w="950" w:type="pct"/>
                  <w:vAlign w:val="top"/>
                </w:tcPr>
                <w:p>
                  <w:pPr/>
                  <w:r>
                    <w:rPr>
                      <w:rStyle w:val="row-content-rich-text"/>
                      <w:b/>
                    </w:rPr>
                    <w:t xml:space="preserve">Sex</w:t>
                  </w:r>
                </w:p>
              </w:tc>
              <w:tc>
                <w:tcPr>
                  <w:tcW w:w="2250" w:type="pct"/>
                  <w:vAlign w:val="top"/>
                </w:tcPr>
                <w:p>
                  <w:r>
                    <w:rPr>
                      <w:b/>
                    </w:rPr>
                    <w:t xml:space="preserve">Indigenous Status</w:t>
                  </w:r>
                </w:p>
              </w:tc>
              <w:tc>
                <w:tcPr>
                  <w:tcW w:w="350" w:type="pct"/>
                  <w:vAlign w:val="top"/>
                </w:tcPr>
                <w:p>
                  <w:r>
                    <w:rPr>
                      <w:b/>
                    </w:rPr>
                    <w:t xml:space="preserve">Age</w:t>
                  </w:r>
                </w:p>
              </w:tc>
              <w:tc>
                <w:tcPr>
                  <w:tcW w:w="550" w:type="pct"/>
                  <w:vAlign w:val="top"/>
                </w:tcPr>
                <w:p>
                  <w:r>
                    <w:rPr>
                      <w:b/>
                    </w:rPr>
                    <w:t xml:space="preserve">Diabetes MellitusStatus</w:t>
                  </w:r>
                </w:p>
              </w:tc>
              <w:tc>
                <w:tcPr>
                  <w:tcW w:w="800" w:type="pct"/>
                  <w:vAlign w:val="top"/>
                </w:tcPr>
                <w:p>
                  <w:r>
                    <w:rPr>
                      <w:b/>
                    </w:rPr>
                    <w:t xml:space="preserve">Total</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Total</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729dbb971d5543f5">
              <w:r>
                <w:rPr>
                  <w:rStyle w:val="Hyperlink"/>
                  <w:b/>
                </w:rPr>
                <w:t xml:space="preserve">regular client</w:t>
              </w:r>
            </w:hyperlink>
            <w:r>
              <w:rPr>
                <w:rStyle w:val="row-content-rich-text"/>
              </w:rPr>
              <w:t xml:space="preserve"> who has Type 1 or Type 2 diabetes, or a diagnosis which indicates diabetes but does not specify between Type 1 and Type 2.</w:t>
            </w:r>
          </w:p>
          <w:p>
            <w:pPr>
              <w:spacing w:after="160"/>
            </w:pPr>
            <w:r>
              <w:rPr>
                <w:rStyle w:val="row-content-rich-text"/>
              </w:rPr>
              <w:t xml:space="preserve">A client is classified as having Type 1 or Type 2 diabetes, or a diagnosis which indicates diabetes but does not specify between Type 1 and Type 2, if it is listed as a diagnosis in their patient record. Clients are excluded from the calculation if they:</w:t>
            </w:r>
          </w:p>
          <w:p>
            <w:pPr>
              <w:pStyle w:val="ListParagraph"/>
              <w:numPr>
                <w:ilvl w:val="0"/>
                <w:numId w:val="2"/>
              </w:numPr>
            </w:pPr>
            <w:r>
              <w:rPr>
                <w:rStyle w:val="row-content-rich-text"/>
              </w:rPr>
              <w:t xml:space="preserve">had secondary diabetes, gestational diabetes mellitus (GDM), previous GDM, impaired fasting glucose, impaired glucose tolerance.</w:t>
            </w:r>
          </w:p>
          <w:p>
            <w:pPr>
              <w:pStyle w:val="ListParagraph"/>
              <w:numPr>
                <w:ilvl w:val="0"/>
                <w:numId w:val="2"/>
              </w:numPr>
            </w:pPr>
            <w:r>
              <w:rPr>
                <w:rStyle w:val="row-content-rich-text"/>
              </w:rPr>
              <w:t xml:space="preserve">had results from measurements conducted outside of the service which were not available to the service and had not visited the service in the previous 12 months.</w:t>
            </w:r>
          </w:p>
          <w:p>
            <w:pPr>
              <w:spacing w:after="160"/>
            </w:pPr>
            <w:r>
              <w:rPr>
                <w:rStyle w:val="row-content-rich-text"/>
              </w:rPr>
              <w:t xml:space="preserve">Note that any patients who have had gestational diabetes but also have Type 1 or 2 diabetes will be included.</w:t>
            </w:r>
          </w:p>
          <w:p>
            <w:pPr/>
            <w:r>
              <w:rPr>
                <w:rStyle w:val="row-content-rich-text"/>
              </w:rPr>
              <w:t xml:space="preserve">In addition to the disaggregations as specified generally in the PIP EDS NBEDS, the data should also be disaggregated by diabetes mellitus status, with reference to </w:t>
            </w:r>
            <w:hyperlink w:history="true" r:id="R48b5168a26174cd6">
              <w:r>
                <w:rPr>
                  <w:rStyle w:val="Hyperlink"/>
                </w:rPr>
                <w:t xml:space="preserve">Person—diabetes mellitus status, simplified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dd3877d658475e">
              <w:r>
                <w:rPr>
                  <w:rStyle w:val="Hyperlink"/>
                </w:rPr>
                <w:t xml:space="preserve">Practice incentives program eligible data set NBEDS 2020–21</w:t>
              </w:r>
            </w:hyperlink>
          </w:p>
          <w:p>
            <w:pPr>
              <w:pStyle w:val="registration-status"/>
              <w:spacing w:before="0" w:after="0"/>
            </w:pPr>
            <w:hyperlink w:history="true" r:id="R75dfe86e2ae9459e">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6699988e34407">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a0ecc4d0d4d55">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4085785bc4581">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3b3ca200146f0">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b23a09c044c34">
                    <w:r>
                      <w:rPr>
                        <w:rStyle w:val="Hyperlink"/>
                      </w:rPr>
                      <w:t xml:space="preserve">Primary Health Network—number of regular clients with diabetes mellitus,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f6a9ac067c2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063e5cacb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a9ac067c24494" /><Relationship Type="http://schemas.openxmlformats.org/officeDocument/2006/relationships/header" Target="/word/header1.xml" Id="Rd3081907a4db499a" /><Relationship Type="http://schemas.openxmlformats.org/officeDocument/2006/relationships/settings" Target="/word/settings.xml" Id="Rf3692c2aafd64db3" /><Relationship Type="http://schemas.openxmlformats.org/officeDocument/2006/relationships/styles" Target="/word/styles.xml" Id="Rb9a1e7f205ff48f5" /><Relationship Type="http://schemas.openxmlformats.org/officeDocument/2006/relationships/numbering" Target="/word/numbering.xml" Id="R5dc97d0d23d64513" /><Relationship Type="http://schemas.openxmlformats.org/officeDocument/2006/relationships/hyperlink" Target="https://meteor-uat.aihw.gov.au/RegistrationAuthority/14" TargetMode="External" Id="R3077ea181ef34bd4" /><Relationship Type="http://schemas.openxmlformats.org/officeDocument/2006/relationships/hyperlink" Target="https://meteor-uat.aihw.gov.au/content/729962" TargetMode="External" Id="Rac31574912424682" /><Relationship Type="http://schemas.openxmlformats.org/officeDocument/2006/relationships/hyperlink" Target="https://meteor-uat.aihw.gov.au/content/729962" TargetMode="External" Id="R729dbb971d5543f5" /><Relationship Type="http://schemas.openxmlformats.org/officeDocument/2006/relationships/hyperlink" Target="https://meteor-uat.aihw.gov.au/content/730236" TargetMode="External" Id="R48b5168a26174cd6" /><Relationship Type="http://schemas.openxmlformats.org/officeDocument/2006/relationships/hyperlink" Target="https://meteor-uat.aihw.gov.au/content/728927" TargetMode="External" Id="R90dd3877d658475e" /><Relationship Type="http://schemas.openxmlformats.org/officeDocument/2006/relationships/hyperlink" Target="https://meteor-uat.aihw.gov.au/RegistrationAuthority/14" TargetMode="External" Id="R75dfe86e2ae9459e" /><Relationship Type="http://schemas.openxmlformats.org/officeDocument/2006/relationships/hyperlink" Target="https://meteor-uat.aihw.gov.au/content/730216" TargetMode="External" Id="Redf6699988e34407" /><Relationship Type="http://schemas.openxmlformats.org/officeDocument/2006/relationships/hyperlink" Target="https://meteor-uat.aihw.gov.au/content/730236" TargetMode="External" Id="R4f0a0ecc4d0d4d55" /><Relationship Type="http://schemas.openxmlformats.org/officeDocument/2006/relationships/hyperlink" Target="https://meteor-uat.aihw.gov.au/content/730592" TargetMode="External" Id="R25d4085785bc4581" /><Relationship Type="http://schemas.openxmlformats.org/officeDocument/2006/relationships/hyperlink" Target="https://meteor-uat.aihw.gov.au/content/730622" TargetMode="External" Id="R9d93b3ca200146f0" /><Relationship Type="http://schemas.openxmlformats.org/officeDocument/2006/relationships/hyperlink" Target="https://meteor-uat.aihw.gov.au/content/728712" TargetMode="External" Id="R5e9b23a09c044c34" /></Relationships>
</file>

<file path=word/_rels/header1.xml.rels>&#65279;<?xml version="1.0" encoding="utf-8"?><Relationships xmlns="http://schemas.openxmlformats.org/package/2006/relationships"><Relationship Type="http://schemas.openxmlformats.org/officeDocument/2006/relationships/image" Target="/media/image.png" Id="R442063e5cacb49f9" /></Relationships>
</file>