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37e8f560b4ddc"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an alcohol consumption status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an alcohol consumption status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2a6b784de451c">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an alcohol consumption status cluster is intended for use within the Practice incentives program eligible data set NBEDS (PIP EDS NBEDS). These data elements are used in conjunction with each other to describe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c507f6da82bf47bc">
              <w:r>
                <w:rPr>
                  <w:rStyle w:val="Hyperlink"/>
                  <w:b/>
                </w:rPr>
                <w:t xml:space="preserve">regular clients</w:t>
              </w:r>
            </w:hyperlink>
            <w:r>
              <w:rPr>
                <w:rStyle w:val="row-content-rich-text"/>
              </w:rPr>
              <w:t xml:space="preserve"> of service providers within a Primary Health Network who have their alcohol consumption status recorded, disaggregated by sex,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 data elements are used together to provide a count of regular clients who have their alcohol consumption status recorded, disaggregated by the various permutations of their sex, age ranges and Indigenous status, as demonstrated below:</w:t>
            </w:r>
          </w:p>
          <w:tbl>
            <w:tblPr>
              <w:tblStyle w:val="TableGrid"/>
              <w:tblW w:w="5000" w:type="pct"/>
              <w:tblLayout w:type="autofit"/>
            </w:tblPr>
            <w:tblGrid>
              <w:gridCol/>
              <w:gridCol/>
              <w:gridCol/>
              <w:gridCol/>
            </w:tblGrid>
            <w:tr>
              <w:trPr/>
              <w:tc>
                <w:tcPr>
                  <w:tcW w:w="1150" w:type="pct"/>
                  <w:vAlign w:val="top"/>
                </w:tcPr>
                <w:p>
                  <w:pPr/>
                  <w:r>
                    <w:rPr>
                      <w:rStyle w:val="row-content-rich-text"/>
                      <w:b/>
                    </w:rPr>
                    <w:t xml:space="preserve">Sex</w:t>
                  </w:r>
                </w:p>
              </w:tc>
              <w:tc>
                <w:tcPr>
                  <w:tcW w:w="2400" w:type="pct"/>
                  <w:vAlign w:val="top"/>
                </w:tcPr>
                <w:p>
                  <w:r>
                    <w:rPr>
                      <w:b/>
                    </w:rPr>
                    <w:t xml:space="preserve">Indigenous Status</w:t>
                  </w:r>
                </w:p>
              </w:tc>
              <w:tc>
                <w:tcPr>
                  <w:tcW w:w="450" w:type="pct"/>
                  <w:vAlign w:val="top"/>
                </w:tcPr>
                <w:p>
                  <w:r>
                    <w:rPr>
                      <w:b/>
                    </w:rPr>
                    <w:t xml:space="preserve">Age</w:t>
                  </w:r>
                </w:p>
              </w:tc>
              <w:tc>
                <w:tcPr>
                  <w:tcW w:w="850" w:type="pct"/>
                  <w:vAlign w:val="top"/>
                </w:tcPr>
                <w:p>
                  <w:r>
                    <w:rPr>
                      <w:b/>
                    </w:rPr>
                    <w:t xml:space="preserve">Total</w:t>
                  </w:r>
                </w:p>
              </w:tc>
            </w:tr>
            <w:tr>
              <w:trPr/>
              <w:tc>
                <w:tcPr>
                  <w:tcW w:w="1150" w:type="pct"/>
                  <w:vAlign w:val="top"/>
                </w:tcPr>
                <w:p>
                  <w:r>
                    <w:t xml:space="preserve">Female</w:t>
                  </w:r>
                </w:p>
              </w:tc>
              <w:tc>
                <w:tcPr>
                  <w:tcW w:w="2400" w:type="pct"/>
                  <w:vAlign w:val="top"/>
                </w:tcPr>
                <w:p>
                  <w:r>
                    <w:t xml:space="preserve">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Female</w:t>
                  </w:r>
                </w:p>
              </w:tc>
              <w:tc>
                <w:tcPr>
                  <w:tcW w:w="2400" w:type="pct"/>
                  <w:vAlign w:val="top"/>
                </w:tcPr>
                <w:p>
                  <w:r>
                    <w:t xml:space="preserve">Non-Indigenous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Non-Indigenous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Non-Indigenous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Female</w:t>
                  </w:r>
                </w:p>
              </w:tc>
              <w:tc>
                <w:tcPr>
                  <w:tcW w:w="2400" w:type="pct"/>
                  <w:vAlign w:val="top"/>
                </w:tcPr>
                <w:p>
                  <w:r>
                    <w:t xml:space="preserve">Not stated/inadequately described</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Not stated/inadequately described</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Not stated/inadequately described</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Male</w:t>
                  </w:r>
                </w:p>
              </w:tc>
              <w:tc>
                <w:tcPr>
                  <w:tcW w:w="2400" w:type="pct"/>
                  <w:vAlign w:val="top"/>
                </w:tcPr>
                <w:p>
                  <w:r>
                    <w:t xml:space="preserve">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Male</w:t>
                  </w:r>
                </w:p>
              </w:tc>
              <w:tc>
                <w:tcPr>
                  <w:tcW w:w="2400" w:type="pct"/>
                  <w:vAlign w:val="top"/>
                </w:tcPr>
                <w:p>
                  <w:r>
                    <w:t xml:space="preserve">Non-Indigenous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Non-Indigenous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Non-Indigenous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Male</w:t>
                  </w:r>
                </w:p>
              </w:tc>
              <w:tc>
                <w:tcPr>
                  <w:tcW w:w="2400" w:type="pct"/>
                  <w:vAlign w:val="top"/>
                </w:tcPr>
                <w:p>
                  <w:r>
                    <w:t xml:space="preserve">Not stated/inadequately described</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Not stated/inadequately described</w:t>
                  </w:r>
                </w:p>
              </w:tc>
              <w:tc>
                <w:tcPr>
                  <w:tcW w:w="450" w:type="pct"/>
                  <w:vAlign w:val="top"/>
                </w:tcPr>
                <w:p>
                  <w:r>
                    <w:t xml:space="preserve">25-35</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Not stated/inadequately described</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Indeterminate/Intersex ...</w:t>
                  </w:r>
                </w:p>
              </w:tc>
              <w:tc>
                <w:tcPr>
                  <w:tcW w:w="2400" w:type="pct"/>
                  <w:vAlign w:val="top"/>
                </w:tcPr>
                <w:p>
                  <w:r>
                    <w:t xml:space="preserve">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Indigenous Australian</w:t>
                  </w:r>
                </w:p>
              </w:tc>
              <w:tc>
                <w:tcPr>
                  <w:tcW w:w="450" w:type="pct"/>
                  <w:vAlign w:val="top"/>
                </w:tcPr>
                <w:p>
                  <w:r>
                    <w:t xml:space="preserve">25-35</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Indeterminate/Intersex ...</w:t>
                  </w:r>
                </w:p>
              </w:tc>
              <w:tc>
                <w:tcPr>
                  <w:tcW w:w="2400" w:type="pct"/>
                  <w:vAlign w:val="top"/>
                </w:tcPr>
                <w:p>
                  <w:r>
                    <w:t xml:space="preserve">Non-Indigenous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Non-Indigenous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Non-Indigenous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Indeterminate/Intersex ...</w:t>
                  </w:r>
                </w:p>
              </w:tc>
              <w:tc>
                <w:tcPr>
                  <w:tcW w:w="2400" w:type="pct"/>
                  <w:vAlign w:val="top"/>
                </w:tcPr>
                <w:p>
                  <w:r>
                    <w:t xml:space="preserve">Not stated/inadequately described</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Not stated/inadequately described</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Not stated/inadequately described</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Total</w:t>
                  </w:r>
                </w:p>
              </w:tc>
              <w:tc>
                <w:tcPr>
                  <w:tcW w:w="2400" w:type="pct"/>
                  <w:vAlign w:val="top"/>
                </w:tcPr>
                <w:p>
                  <w:r>
                    <w:t xml:space="preserve"> </w:t>
                  </w:r>
                </w:p>
              </w:tc>
              <w:tc>
                <w:tcPr>
                  <w:tcW w:w="450" w:type="pct"/>
                  <w:vAlign w:val="top"/>
                </w:tcPr>
                <w:p>
                  <w:r>
                    <w:t xml:space="preserve"> </w:t>
                  </w:r>
                </w:p>
              </w:tc>
              <w:tc>
                <w:tcPr>
                  <w:tcW w:w="85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9a10202c74eb4a36">
              <w:r>
                <w:rPr>
                  <w:rStyle w:val="Hyperlink"/>
                  <w:b/>
                </w:rPr>
                <w:t xml:space="preserve">regular client</w:t>
              </w:r>
            </w:hyperlink>
            <w:r>
              <w:rPr>
                <w:rStyle w:val="row-content-rich-text"/>
              </w:rPr>
              <w:t xml:space="preserve"> aged 15 years and over who has had their alcohol consumption status recorded. Only the most recently recorded result is included.</w:t>
            </w:r>
          </w:p>
          <w:p>
            <w:pPr>
              <w:spacing w:after="160"/>
            </w:pPr>
            <w:r>
              <w:rPr>
                <w:rStyle w:val="row-content-rich-text"/>
              </w:rPr>
              <w:t xml:space="preserve">Age is derived from date of birth and taken as at the last day of the data collection period.</w:t>
            </w:r>
          </w:p>
          <w:p>
            <w:pPr/>
            <w:r>
              <w:rPr>
                <w:rStyle w:val="row-content-rich-text"/>
              </w:rPr>
              <w:t xml:space="preserve">Disaggregations are as specified generally in the PIP EDS NBEDS.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5689ae29c46e3">
              <w:r>
                <w:rPr>
                  <w:rStyle w:val="Hyperlink"/>
                </w:rPr>
                <w:t xml:space="preserve">Practice incentives program eligible data set NBEDS 2020–21</w:t>
              </w:r>
            </w:hyperlink>
          </w:p>
          <w:p>
            <w:pPr>
              <w:pStyle w:val="registration-status"/>
              <w:spacing w:before="0" w:after="0"/>
            </w:pPr>
            <w:hyperlink w:history="true" r:id="R5b508f690afd4e96">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ce146de3e44be">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af21b2d87445c">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b4138aba54b9c">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4573729fe461f">
                    <w:r>
                      <w:rPr>
                        <w:rStyle w:val="Hyperlink"/>
                      </w:rPr>
                      <w:t xml:space="preserve">Primary Health Network—number of regular clients with an alcohol consumption status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688e0080f82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11f2d1916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8e0080f8247bc" /><Relationship Type="http://schemas.openxmlformats.org/officeDocument/2006/relationships/header" Target="/word/header1.xml" Id="R9575161983e749c5" /><Relationship Type="http://schemas.openxmlformats.org/officeDocument/2006/relationships/settings" Target="/word/settings.xml" Id="Red2a08d1c9aa4256" /><Relationship Type="http://schemas.openxmlformats.org/officeDocument/2006/relationships/styles" Target="/word/styles.xml" Id="Rbde7395f1d7d4091" /><Relationship Type="http://schemas.openxmlformats.org/officeDocument/2006/relationships/hyperlink" Target="https://meteor-uat.aihw.gov.au/RegistrationAuthority/14" TargetMode="External" Id="R2432a6b784de451c" /><Relationship Type="http://schemas.openxmlformats.org/officeDocument/2006/relationships/hyperlink" Target="https://meteor-uat.aihw.gov.au/content/729962" TargetMode="External" Id="Rc507f6da82bf47bc" /><Relationship Type="http://schemas.openxmlformats.org/officeDocument/2006/relationships/hyperlink" Target="https://meteor-uat.aihw.gov.au/content/729962" TargetMode="External" Id="R9a10202c74eb4a36" /><Relationship Type="http://schemas.openxmlformats.org/officeDocument/2006/relationships/hyperlink" Target="https://meteor-uat.aihw.gov.au/content/728927" TargetMode="External" Id="R8c15689ae29c46e3" /><Relationship Type="http://schemas.openxmlformats.org/officeDocument/2006/relationships/hyperlink" Target="https://meteor-uat.aihw.gov.au/RegistrationAuthority/14" TargetMode="External" Id="R5b508f690afd4e96" /><Relationship Type="http://schemas.openxmlformats.org/officeDocument/2006/relationships/hyperlink" Target="https://meteor-uat.aihw.gov.au/content/730216" TargetMode="External" Id="R191ce146de3e44be" /><Relationship Type="http://schemas.openxmlformats.org/officeDocument/2006/relationships/hyperlink" Target="https://meteor-uat.aihw.gov.au/content/730592" TargetMode="External" Id="R407af21b2d87445c" /><Relationship Type="http://schemas.openxmlformats.org/officeDocument/2006/relationships/hyperlink" Target="https://meteor-uat.aihw.gov.au/content/730622" TargetMode="External" Id="Re0eb4138aba54b9c" /><Relationship Type="http://schemas.openxmlformats.org/officeDocument/2006/relationships/hyperlink" Target="https://meteor-uat.aihw.gov.au/content/728900" TargetMode="External" Id="Rae84573729fe461f" /></Relationships>
</file>

<file path=word/_rels/header1.xml.rels>&#65279;<?xml version="1.0" encoding="utf-8"?><Relationships xmlns="http://schemas.openxmlformats.org/package/2006/relationships"><Relationship Type="http://schemas.openxmlformats.org/officeDocument/2006/relationships/image" Target="/media/image.png" Id="R74011f2d19164321" /></Relationships>
</file>