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113dd6a70449b"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body mass index recorded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body mass index recorded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7a90abab14c26">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body mass index recorded cluster is intended for use within the Practice incentives program eligible data set NBEDS (PIP EDS NBEDS). These data elements are used in conjunction with each other to describe the total number of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ee464bcc4b024d3a">
              <w:r>
                <w:rPr>
                  <w:rStyle w:val="Hyperlink"/>
                  <w:b/>
                </w:rPr>
                <w:t xml:space="preserve">regular clients</w:t>
              </w:r>
            </w:hyperlink>
            <w:r>
              <w:rPr>
                <w:rStyle w:val="row-content-rich-text"/>
              </w:rPr>
              <w:t xml:space="preserve"> of service providers within a Primary Health Network who have their body mass index (BMI) recorded, disaggregated by sex, age range, Indigenous status and BMI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five data elements are used together to provide a count of regular clients who have their body mass index (BMI) recorded, disaggregated by the various permutations of their sex, age ranges, Indigenous status, and BMI category, as demonstrated below:</w:t>
            </w:r>
          </w:p>
          <w:tbl>
            <w:tblPr>
              <w:tblStyle w:val="TableGrid"/>
              <w:tblW w:w="5000" w:type="pct"/>
              <w:tblLayout w:type="autofit"/>
            </w:tblPr>
            <w:tblGrid>
              <w:gridCol/>
              <w:gridCol/>
              <w:gridCol/>
              <w:gridCol/>
              <w:gridCol/>
            </w:tblGrid>
            <w:tr>
              <w:trPr/>
              <w:tc>
                <w:tcPr>
                  <w:tcW w:w="900" w:type="pct"/>
                  <w:vAlign w:val="top"/>
                </w:tcPr>
                <w:p>
                  <w:pPr/>
                  <w:r>
                    <w:rPr>
                      <w:rStyle w:val="row-content-rich-text"/>
                      <w:b/>
                    </w:rPr>
                    <w:t xml:space="preserve">Sex</w:t>
                  </w:r>
                </w:p>
              </w:tc>
              <w:tc>
                <w:tcPr>
                  <w:tcW w:w="2000" w:type="pct"/>
                  <w:vAlign w:val="top"/>
                </w:tcPr>
                <w:p>
                  <w:r>
                    <w:rPr>
                      <w:b/>
                    </w:rPr>
                    <w:t xml:space="preserve">Indigenous Status</w:t>
                  </w:r>
                </w:p>
              </w:tc>
              <w:tc>
                <w:tcPr>
                  <w:tcW w:w="400" w:type="pct"/>
                  <w:vAlign w:val="top"/>
                </w:tcPr>
                <w:p>
                  <w:r>
                    <w:rPr>
                      <w:b/>
                    </w:rPr>
                    <w:t xml:space="preserve">Age</w:t>
                  </w:r>
                </w:p>
              </w:tc>
              <w:tc>
                <w:tcPr>
                  <w:tcW w:w="800" w:type="pct"/>
                  <w:vAlign w:val="top"/>
                </w:tcPr>
                <w:p>
                  <w:r>
                    <w:rPr>
                      <w:b/>
                    </w:rPr>
                    <w:t xml:space="preserve">BMI category</w:t>
                  </w:r>
                </w:p>
              </w:tc>
              <w:tc>
                <w:tcPr>
                  <w:tcW w:w="750" w:type="pct"/>
                  <w:vAlign w:val="top"/>
                </w:tcPr>
                <w:p>
                  <w:r>
                    <w:rPr>
                      <w:b/>
                    </w:rPr>
                    <w:t xml:space="preserve">Total</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15-24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25-34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35-44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15-24</w:t>
                  </w:r>
                </w:p>
              </w:tc>
              <w:tc>
                <w:tcPr>
                  <w:tcW w:w="800" w:type="pct"/>
                  <w:vAlign w:val="top"/>
                </w:tcPr>
                <w:p>
                  <w:r>
                    <w:t xml:space="preserve">Healthy</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25-34</w:t>
                  </w:r>
                </w:p>
              </w:tc>
              <w:tc>
                <w:tcPr>
                  <w:tcW w:w="800" w:type="pct"/>
                  <w:vAlign w:val="top"/>
                </w:tcPr>
                <w:p>
                  <w:r>
                    <w:t xml:space="preserve">Healthy</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35-44</w:t>
                  </w:r>
                </w:p>
              </w:tc>
              <w:tc>
                <w:tcPr>
                  <w:tcW w:w="800" w:type="pct"/>
                  <w:vAlign w:val="top"/>
                </w:tcPr>
                <w:p>
                  <w:r>
                    <w:t xml:space="preserve">Healthy</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15-24</w:t>
                  </w:r>
                </w:p>
              </w:tc>
              <w:tc>
                <w:tcPr>
                  <w:tcW w:w="800" w:type="pct"/>
                  <w:vAlign w:val="top"/>
                </w:tcPr>
                <w:p>
                  <w:r>
                    <w:t xml:space="preserve">Overweight</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25-34</w:t>
                  </w:r>
                </w:p>
              </w:tc>
              <w:tc>
                <w:tcPr>
                  <w:tcW w:w="800" w:type="pct"/>
                  <w:vAlign w:val="top"/>
                </w:tcPr>
                <w:p>
                  <w:r>
                    <w:t xml:space="preserve">Overweight</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35-44</w:t>
                  </w:r>
                </w:p>
              </w:tc>
              <w:tc>
                <w:tcPr>
                  <w:tcW w:w="800" w:type="pct"/>
                  <w:vAlign w:val="top"/>
                </w:tcPr>
                <w:p>
                  <w:r>
                    <w:t xml:space="preserve">Overweight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15-24</w:t>
                  </w:r>
                </w:p>
              </w:tc>
              <w:tc>
                <w:tcPr>
                  <w:tcW w:w="800" w:type="pct"/>
                  <w:vAlign w:val="top"/>
                </w:tcPr>
                <w:p>
                  <w:r>
                    <w:t xml:space="preserve">Obese</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25-34</w:t>
                  </w:r>
                </w:p>
              </w:tc>
              <w:tc>
                <w:tcPr>
                  <w:tcW w:w="800" w:type="pct"/>
                  <w:vAlign w:val="top"/>
                </w:tcPr>
                <w:p>
                  <w:r>
                    <w:t xml:space="preserve">Obese</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Indigenous Australian</w:t>
                  </w:r>
                </w:p>
              </w:tc>
              <w:tc>
                <w:tcPr>
                  <w:tcW w:w="400" w:type="pct"/>
                  <w:vAlign w:val="top"/>
                </w:tcPr>
                <w:p>
                  <w:r>
                    <w:t xml:space="preserve">35-44</w:t>
                  </w:r>
                </w:p>
              </w:tc>
              <w:tc>
                <w:tcPr>
                  <w:tcW w:w="800" w:type="pct"/>
                  <w:vAlign w:val="top"/>
                </w:tcPr>
                <w:p>
                  <w:r>
                    <w:t xml:space="preserve">Obese</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Female</w:t>
                  </w:r>
                </w:p>
              </w:tc>
              <w:tc>
                <w:tcPr>
                  <w:tcW w:w="2000" w:type="pct"/>
                  <w:vAlign w:val="top"/>
                </w:tcPr>
                <w:p>
                  <w:r>
                    <w:t xml:space="preserve">Non-Indigenous Australian</w:t>
                  </w:r>
                </w:p>
              </w:tc>
              <w:tc>
                <w:tcPr>
                  <w:tcW w:w="400" w:type="pct"/>
                  <w:vAlign w:val="top"/>
                </w:tcPr>
                <w:p>
                  <w:r>
                    <w:t xml:space="preserve">15-24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Non-Indigenous Australian</w:t>
                  </w:r>
                </w:p>
              </w:tc>
              <w:tc>
                <w:tcPr>
                  <w:tcW w:w="400" w:type="pct"/>
                  <w:vAlign w:val="top"/>
                </w:tcPr>
                <w:p>
                  <w:r>
                    <w:t xml:space="preserve">25-34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Non-Indigenous Australian</w:t>
                  </w:r>
                </w:p>
              </w:tc>
              <w:tc>
                <w:tcPr>
                  <w:tcW w:w="400" w:type="pct"/>
                  <w:vAlign w:val="top"/>
                </w:tcPr>
                <w:p>
                  <w:r>
                    <w:t xml:space="preserve">35-44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Female</w:t>
                  </w:r>
                </w:p>
              </w:tc>
              <w:tc>
                <w:tcPr>
                  <w:tcW w:w="2000" w:type="pct"/>
                  <w:vAlign w:val="top"/>
                </w:tcPr>
                <w:p>
                  <w:r>
                    <w:t xml:space="preserve">Not stated/inadequately described</w:t>
                  </w:r>
                </w:p>
              </w:tc>
              <w:tc>
                <w:tcPr>
                  <w:tcW w:w="400" w:type="pct"/>
                  <w:vAlign w:val="top"/>
                </w:tcPr>
                <w:p>
                  <w:r>
                    <w:t xml:space="preserve">15-24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Not stated/inadequately described</w:t>
                  </w:r>
                </w:p>
              </w:tc>
              <w:tc>
                <w:tcPr>
                  <w:tcW w:w="400" w:type="pct"/>
                  <w:vAlign w:val="top"/>
                </w:tcPr>
                <w:p>
                  <w:r>
                    <w:t xml:space="preserve">25-34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Female</w:t>
                  </w:r>
                </w:p>
              </w:tc>
              <w:tc>
                <w:tcPr>
                  <w:tcW w:w="2000" w:type="pct"/>
                  <w:vAlign w:val="top"/>
                </w:tcPr>
                <w:p>
                  <w:r>
                    <w:t xml:space="preserve">Not stated/inadequately described</w:t>
                  </w:r>
                </w:p>
              </w:tc>
              <w:tc>
                <w:tcPr>
                  <w:tcW w:w="400" w:type="pct"/>
                  <w:vAlign w:val="top"/>
                </w:tcPr>
                <w:p>
                  <w:r>
                    <w:t xml:space="preserve">35-44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Male</w:t>
                  </w:r>
                </w:p>
              </w:tc>
              <w:tc>
                <w:tcPr>
                  <w:tcW w:w="2000" w:type="pct"/>
                  <w:vAlign w:val="top"/>
                </w:tcPr>
                <w:p>
                  <w:r>
                    <w:t xml:space="preserve">Indigenous Australian</w:t>
                  </w:r>
                </w:p>
              </w:tc>
              <w:tc>
                <w:tcPr>
                  <w:tcW w:w="400" w:type="pct"/>
                  <w:vAlign w:val="top"/>
                </w:tcPr>
                <w:p>
                  <w:r>
                    <w:t xml:space="preserve">15-24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Male</w:t>
                  </w:r>
                </w:p>
              </w:tc>
              <w:tc>
                <w:tcPr>
                  <w:tcW w:w="2000" w:type="pct"/>
                  <w:vAlign w:val="top"/>
                </w:tcPr>
                <w:p>
                  <w:r>
                    <w:t xml:space="preserve">Indigenous Australian</w:t>
                  </w:r>
                </w:p>
              </w:tc>
              <w:tc>
                <w:tcPr>
                  <w:tcW w:w="400" w:type="pct"/>
                  <w:vAlign w:val="top"/>
                </w:tcPr>
                <w:p>
                  <w:r>
                    <w:t xml:space="preserve">25-34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Male</w:t>
                  </w:r>
                </w:p>
              </w:tc>
              <w:tc>
                <w:tcPr>
                  <w:tcW w:w="2000" w:type="pct"/>
                  <w:vAlign w:val="top"/>
                </w:tcPr>
                <w:p>
                  <w:r>
                    <w:t xml:space="preserve">Indigenous Australian</w:t>
                  </w:r>
                </w:p>
              </w:tc>
              <w:tc>
                <w:tcPr>
                  <w:tcW w:w="400" w:type="pct"/>
                  <w:vAlign w:val="top"/>
                </w:tcPr>
                <w:p>
                  <w:r>
                    <w:t xml:space="preserve">35-44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Male</w:t>
                  </w:r>
                </w:p>
              </w:tc>
              <w:tc>
                <w:tcPr>
                  <w:tcW w:w="2000" w:type="pct"/>
                  <w:vAlign w:val="top"/>
                </w:tcPr>
                <w:p>
                  <w:r>
                    <w:t xml:space="preserve">Non-Indigenous Australian</w:t>
                  </w:r>
                </w:p>
              </w:tc>
              <w:tc>
                <w:tcPr>
                  <w:tcW w:w="400" w:type="pct"/>
                  <w:vAlign w:val="top"/>
                </w:tcPr>
                <w:p>
                  <w:r>
                    <w:t xml:space="preserve">15-24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Male</w:t>
                  </w:r>
                </w:p>
              </w:tc>
              <w:tc>
                <w:tcPr>
                  <w:tcW w:w="2000" w:type="pct"/>
                  <w:vAlign w:val="top"/>
                </w:tcPr>
                <w:p>
                  <w:r>
                    <w:t xml:space="preserve">Non-Indigenous Australian</w:t>
                  </w:r>
                </w:p>
              </w:tc>
              <w:tc>
                <w:tcPr>
                  <w:tcW w:w="400" w:type="pct"/>
                  <w:vAlign w:val="top"/>
                </w:tcPr>
                <w:p>
                  <w:r>
                    <w:t xml:space="preserve">25-34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Male</w:t>
                  </w:r>
                </w:p>
              </w:tc>
              <w:tc>
                <w:tcPr>
                  <w:tcW w:w="2000" w:type="pct"/>
                  <w:vAlign w:val="top"/>
                </w:tcPr>
                <w:p>
                  <w:r>
                    <w:t xml:space="preserve">Non-Indigenous Australian</w:t>
                  </w:r>
                </w:p>
              </w:tc>
              <w:tc>
                <w:tcPr>
                  <w:tcW w:w="400" w:type="pct"/>
                  <w:vAlign w:val="top"/>
                </w:tcPr>
                <w:p>
                  <w:r>
                    <w:t xml:space="preserve">35-44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Male</w:t>
                  </w:r>
                </w:p>
              </w:tc>
              <w:tc>
                <w:tcPr>
                  <w:tcW w:w="2000" w:type="pct"/>
                  <w:vAlign w:val="top"/>
                </w:tcPr>
                <w:p>
                  <w:r>
                    <w:t xml:space="preserve">Not stated/inadequately described</w:t>
                  </w:r>
                </w:p>
              </w:tc>
              <w:tc>
                <w:tcPr>
                  <w:tcW w:w="400" w:type="pct"/>
                  <w:vAlign w:val="top"/>
                </w:tcPr>
                <w:p>
                  <w:r>
                    <w:t xml:space="preserve">15-24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Male</w:t>
                  </w:r>
                </w:p>
              </w:tc>
              <w:tc>
                <w:tcPr>
                  <w:tcW w:w="2000" w:type="pct"/>
                  <w:vAlign w:val="top"/>
                </w:tcPr>
                <w:p>
                  <w:r>
                    <w:t xml:space="preserve">Not stated/inadequately described</w:t>
                  </w:r>
                </w:p>
              </w:tc>
              <w:tc>
                <w:tcPr>
                  <w:tcW w:w="400" w:type="pct"/>
                  <w:vAlign w:val="top"/>
                </w:tcPr>
                <w:p>
                  <w:r>
                    <w:t xml:space="preserve">25-34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Male</w:t>
                  </w:r>
                </w:p>
              </w:tc>
              <w:tc>
                <w:tcPr>
                  <w:tcW w:w="2000" w:type="pct"/>
                  <w:vAlign w:val="top"/>
                </w:tcPr>
                <w:p>
                  <w:r>
                    <w:t xml:space="preserve">Not stated/inadequately described</w:t>
                  </w:r>
                </w:p>
              </w:tc>
              <w:tc>
                <w:tcPr>
                  <w:tcW w:w="400" w:type="pct"/>
                  <w:vAlign w:val="top"/>
                </w:tcPr>
                <w:p>
                  <w:r>
                    <w:t xml:space="preserve">35-44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Indeterminate/Intersex ...</w:t>
                  </w:r>
                </w:p>
              </w:tc>
              <w:tc>
                <w:tcPr>
                  <w:tcW w:w="2000" w:type="pct"/>
                  <w:vAlign w:val="top"/>
                </w:tcPr>
                <w:p>
                  <w:r>
                    <w:t xml:space="preserve">Indigenous Australian</w:t>
                  </w:r>
                </w:p>
              </w:tc>
              <w:tc>
                <w:tcPr>
                  <w:tcW w:w="400" w:type="pct"/>
                  <w:vAlign w:val="top"/>
                </w:tcPr>
                <w:p>
                  <w:r>
                    <w:t xml:space="preserve">15-24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Indeterminate/Intersex ...</w:t>
                  </w:r>
                </w:p>
              </w:tc>
              <w:tc>
                <w:tcPr>
                  <w:tcW w:w="2000" w:type="pct"/>
                  <w:vAlign w:val="top"/>
                </w:tcPr>
                <w:p>
                  <w:r>
                    <w:t xml:space="preserve">Indigenous Australian</w:t>
                  </w:r>
                </w:p>
              </w:tc>
              <w:tc>
                <w:tcPr>
                  <w:tcW w:w="400" w:type="pct"/>
                  <w:vAlign w:val="top"/>
                </w:tcPr>
                <w:p>
                  <w:r>
                    <w:t xml:space="preserve">25-34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Indeterminate/Intersex ...</w:t>
                  </w:r>
                </w:p>
              </w:tc>
              <w:tc>
                <w:tcPr>
                  <w:tcW w:w="2000" w:type="pct"/>
                  <w:vAlign w:val="top"/>
                </w:tcPr>
                <w:p>
                  <w:r>
                    <w:t xml:space="preserve">Indigenous Australian</w:t>
                  </w:r>
                </w:p>
              </w:tc>
              <w:tc>
                <w:tcPr>
                  <w:tcW w:w="400" w:type="pct"/>
                  <w:vAlign w:val="top"/>
                </w:tcPr>
                <w:p>
                  <w:r>
                    <w:t xml:space="preserve">35-44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Indeterminate/Intersex ...</w:t>
                  </w:r>
                </w:p>
              </w:tc>
              <w:tc>
                <w:tcPr>
                  <w:tcW w:w="2000" w:type="pct"/>
                  <w:vAlign w:val="top"/>
                </w:tcPr>
                <w:p>
                  <w:r>
                    <w:t xml:space="preserve">Non-Indigenous Australian</w:t>
                  </w:r>
                </w:p>
              </w:tc>
              <w:tc>
                <w:tcPr>
                  <w:tcW w:w="400" w:type="pct"/>
                  <w:vAlign w:val="top"/>
                </w:tcPr>
                <w:p>
                  <w:r>
                    <w:t xml:space="preserve">15-24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Indeterminate/Intersex ...</w:t>
                  </w:r>
                </w:p>
              </w:tc>
              <w:tc>
                <w:tcPr>
                  <w:tcW w:w="2000" w:type="pct"/>
                  <w:vAlign w:val="top"/>
                </w:tcPr>
                <w:p>
                  <w:r>
                    <w:t xml:space="preserve">Non-Indigenous Australian</w:t>
                  </w:r>
                </w:p>
              </w:tc>
              <w:tc>
                <w:tcPr>
                  <w:tcW w:w="400" w:type="pct"/>
                  <w:vAlign w:val="top"/>
                </w:tcPr>
                <w:p>
                  <w:r>
                    <w:t xml:space="preserve">25-34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Indeterminate/Intersex ...</w:t>
                  </w:r>
                </w:p>
              </w:tc>
              <w:tc>
                <w:tcPr>
                  <w:tcW w:w="2000" w:type="pct"/>
                  <w:vAlign w:val="top"/>
                </w:tcPr>
                <w:p>
                  <w:r>
                    <w:t xml:space="preserve">Non-Indigenous Australian</w:t>
                  </w:r>
                </w:p>
              </w:tc>
              <w:tc>
                <w:tcPr>
                  <w:tcW w:w="400" w:type="pct"/>
                  <w:vAlign w:val="top"/>
                </w:tcPr>
                <w:p>
                  <w:r>
                    <w:t xml:space="preserve">35-44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Indeterminate/Intersex ...</w:t>
                  </w:r>
                </w:p>
              </w:tc>
              <w:tc>
                <w:tcPr>
                  <w:tcW w:w="2000" w:type="pct"/>
                  <w:vAlign w:val="top"/>
                </w:tcPr>
                <w:p>
                  <w:r>
                    <w:t xml:space="preserve">Not stated/inadequately described</w:t>
                  </w:r>
                </w:p>
              </w:tc>
              <w:tc>
                <w:tcPr>
                  <w:tcW w:w="400" w:type="pct"/>
                  <w:vAlign w:val="top"/>
                </w:tcPr>
                <w:p>
                  <w:r>
                    <w:t xml:space="preserve">15-24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Indeterminate/Intersex ...</w:t>
                  </w:r>
                </w:p>
              </w:tc>
              <w:tc>
                <w:tcPr>
                  <w:tcW w:w="2000" w:type="pct"/>
                  <w:vAlign w:val="top"/>
                </w:tcPr>
                <w:p>
                  <w:r>
                    <w:t xml:space="preserve">Not stated/inadequately described</w:t>
                  </w:r>
                </w:p>
              </w:tc>
              <w:tc>
                <w:tcPr>
                  <w:tcW w:w="400" w:type="pct"/>
                  <w:vAlign w:val="top"/>
                </w:tcPr>
                <w:p>
                  <w:r>
                    <w:t xml:space="preserve">25-34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Indeterminate/Intersex ...</w:t>
                  </w:r>
                </w:p>
              </w:tc>
              <w:tc>
                <w:tcPr>
                  <w:tcW w:w="2000" w:type="pct"/>
                  <w:vAlign w:val="top"/>
                </w:tcPr>
                <w:p>
                  <w:r>
                    <w:t xml:space="preserve">Not stated/inadequately described</w:t>
                  </w:r>
                </w:p>
              </w:tc>
              <w:tc>
                <w:tcPr>
                  <w:tcW w:w="400" w:type="pct"/>
                  <w:vAlign w:val="top"/>
                </w:tcPr>
                <w:p>
                  <w:r>
                    <w:t xml:space="preserve">25-44</w:t>
                  </w:r>
                </w:p>
              </w:tc>
              <w:tc>
                <w:tcPr>
                  <w:tcW w:w="800" w:type="pct"/>
                  <w:vAlign w:val="top"/>
                </w:tcPr>
                <w:p>
                  <w:r>
                    <w:t xml:space="preserve">Underweight</w:t>
                  </w:r>
                </w:p>
              </w:tc>
              <w:tc>
                <w:tcPr>
                  <w:tcW w:w="750" w:type="pct"/>
                  <w:vAlign w:val="top"/>
                </w:tcPr>
                <w:p>
                  <w:r>
                    <w:t xml:space="preserve">N[NNNNNN]</w:t>
                  </w:r>
                </w:p>
              </w:tc>
            </w:tr>
            <w:tr>
              <w:trPr/>
              <w:tc>
                <w:tcPr>
                  <w:tcW w:w="900" w:type="pct"/>
                  <w:vAlign w:val="top"/>
                </w:tcPr>
                <w:p>
                  <w:r>
                    <w:t xml:space="preserve">...</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 </w:t>
                  </w:r>
                </w:p>
              </w:tc>
            </w:tr>
            <w:tr>
              <w:trPr/>
              <w:tc>
                <w:tcPr>
                  <w:tcW w:w="900" w:type="pct"/>
                  <w:vAlign w:val="top"/>
                </w:tcPr>
                <w:p>
                  <w:r>
                    <w:t xml:space="preserve">Total</w:t>
                  </w:r>
                </w:p>
              </w:tc>
              <w:tc>
                <w:tcPr>
                  <w:tcW w:w="2000" w:type="pct"/>
                  <w:vAlign w:val="top"/>
                </w:tcPr>
                <w:p>
                  <w:r>
                    <w:t xml:space="preserve"> </w:t>
                  </w:r>
                </w:p>
              </w:tc>
              <w:tc>
                <w:tcPr>
                  <w:tcW w:w="400" w:type="pct"/>
                  <w:vAlign w:val="top"/>
                </w:tcPr>
                <w:p>
                  <w:r>
                    <w:t xml:space="preserve"> </w:t>
                  </w:r>
                </w:p>
              </w:tc>
              <w:tc>
                <w:tcPr>
                  <w:tcW w:w="800" w:type="pct"/>
                  <w:vAlign w:val="top"/>
                </w:tcPr>
                <w:p>
                  <w:r>
                    <w:t xml:space="preserve"> </w:t>
                  </w:r>
                </w:p>
              </w:tc>
              <w:tc>
                <w:tcPr>
                  <w:tcW w:w="750" w:type="pct"/>
                  <w:vAlign w:val="top"/>
                </w:tcPr>
                <w:p>
                  <w:r>
                    <w:t xml:space="preserve">N[NNNNNN]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9022dd1f39f04a30">
              <w:r>
                <w:rPr>
                  <w:rStyle w:val="Hyperlink"/>
                  <w:b/>
                </w:rPr>
                <w:t xml:space="preserve">regular client</w:t>
              </w:r>
            </w:hyperlink>
            <w:r>
              <w:rPr>
                <w:rStyle w:val="row-content-rich-text"/>
              </w:rPr>
              <w:t xml:space="preserve"> whose BMI was classified using a height measurement taken since the client turned 15 and a weight measurement taken within the previous 12 months.</w:t>
            </w:r>
          </w:p>
          <w:p>
            <w:pPr>
              <w:spacing w:after="160"/>
            </w:pPr>
            <w:r>
              <w:rPr>
                <w:rStyle w:val="row-content-rich-text"/>
              </w:rPr>
              <w:t xml:space="preserve">If the client has had their BMI recorded more than once within the previous 12 months, only the most recently recorded result is included in this calculation.</w:t>
            </w:r>
          </w:p>
          <w:p>
            <w:pPr>
              <w:spacing w:after="160"/>
            </w:pPr>
            <w:r>
              <w:rPr>
                <w:rStyle w:val="row-content-rich-text"/>
              </w:rPr>
              <w:t xml:space="preserve">Where the client is aged between 15 and 24 years, BMI should only be used if both the height and weight measurement have been taken in the last 12 months.</w:t>
            </w:r>
          </w:p>
          <w:p>
            <w:pPr>
              <w:spacing w:after="160"/>
            </w:pPr>
            <w:r>
              <w:rPr>
                <w:rStyle w:val="row-content-rich-text"/>
              </w:rPr>
              <w:t xml:space="preserve">For clients aged greater than 25, only include those clients whose height has been recorded since the client turned 25 and a weight measurement has been taken within the previous 12 months.</w:t>
            </w:r>
          </w:p>
          <w:p>
            <w:pPr>
              <w:spacing w:after="160"/>
            </w:pPr>
            <w:r>
              <w:rPr>
                <w:rStyle w:val="row-content-rich-text"/>
              </w:rPr>
              <w:t xml:space="preserve">Exclude clients if they were 18 or older, and either shorter than 0.914, or taller than 2.108 meters, or refused measurement.</w:t>
            </w:r>
          </w:p>
          <w:p>
            <w:pPr>
              <w:spacing w:after="160"/>
            </w:pPr>
            <w:r>
              <w:rPr>
                <w:rStyle w:val="row-content-rich-text"/>
              </w:rPr>
              <w:t xml:space="preserve">Age is derived from date of birth and taken as at the last day of the data collection period.</w:t>
            </w:r>
          </w:p>
          <w:p>
            <w:pPr>
              <w:spacing w:after="160"/>
            </w:pPr>
            <w:r>
              <w:rPr>
                <w:rStyle w:val="row-content-rich-text"/>
              </w:rPr>
              <w:t xml:space="preserve">BMI categories are calculated as follows:</w:t>
            </w:r>
          </w:p>
          <w:tbl>
            <w:tblPr>
              <w:tblStyle w:val="TableGrid"/>
              <w:tblW w:w="5000" w:type="pct"/>
              <w:tblLayout w:type="autofit"/>
            </w:tblPr>
            <w:tblGrid>
              <w:gridCol/>
              <w:gridCol/>
              <w:gridCol/>
              <w:gridCol/>
            </w:tblGrid>
            <w:tr>
              <w:trPr/>
              <w:tc>
                <w:tcPr>
                  <w:tcW w:w="850" w:type="pct"/>
                  <w:vAlign w:val="top"/>
                </w:tcPr>
                <w:p>
                  <w:pPr/>
                  <w:r>
                    <w:rPr>
                      <w:rStyle w:val="row-content-rich-text"/>
                    </w:rPr>
                    <w:t xml:space="preserve">Sex</w:t>
                  </w:r>
                </w:p>
              </w:tc>
              <w:tc>
                <w:tcPr>
                  <w:tcW w:w="450" w:type="pct"/>
                  <w:vAlign w:val="top"/>
                </w:tcPr>
                <w:p>
                  <w:pPr/>
                  <w:r>
                    <w:rPr>
                      <w:rStyle w:val="row-content-rich-text"/>
                    </w:rPr>
                    <w:t xml:space="preserve">Age in years</w:t>
                  </w:r>
                </w:p>
              </w:tc>
              <w:tc>
                <w:tcPr>
                  <w:tcW w:w="1550" w:type="pct"/>
                  <w:vAlign w:val="top"/>
                </w:tcPr>
                <w:p>
                  <w:pPr/>
                  <w:r>
                    <w:rPr>
                      <w:rStyle w:val="row-content-rich-text"/>
                    </w:rPr>
                    <w:t xml:space="preserve">Category</w:t>
                  </w:r>
                </w:p>
              </w:tc>
              <w:tc>
                <w:tcPr>
                  <w:tcW w:w="2050" w:type="pct"/>
                  <w:vAlign w:val="top"/>
                </w:tcPr>
                <w:p>
                  <w:pPr/>
                  <w:r>
                    <w:rPr>
                      <w:rStyle w:val="row-content-rich-text"/>
                    </w:rPr>
                    <w:t xml:space="preserve">BMI score</w:t>
                  </w:r>
                </w:p>
              </w:tc>
            </w:tr>
            <w:tr>
              <w:trPr/>
              <w:tc>
                <w:tcPr>
                  <w:tcW w:w="850" w:type="pct"/>
                  <w:vAlign w:val="top"/>
                </w:tcPr>
                <w:p>
                  <w:pPr/>
                  <w:r>
                    <w:rPr>
                      <w:rStyle w:val="row-content-rich-text"/>
                    </w:rPr>
                    <w:t xml:space="preserve">Male</w:t>
                  </w:r>
                </w:p>
              </w:tc>
              <w:tc>
                <w:tcPr>
                  <w:tcW w:w="450" w:type="pct"/>
                  <w:vAlign w:val="top"/>
                </w:tcPr>
                <w:p>
                  <w:r>
                    <w:t xml:space="preserve">15</w:t>
                  </w:r>
                </w:p>
              </w:tc>
              <w:tc>
                <w:tcPr>
                  <w:tcW w:w="1550" w:type="pct"/>
                  <w:vAlign w:val="top"/>
                </w:tcPr>
                <w:p>
                  <w:r>
                    <w:t xml:space="preserve">Obese</w:t>
                  </w:r>
                </w:p>
              </w:tc>
              <w:tc>
                <w:tcPr>
                  <w:tcW w:w="2050" w:type="pct"/>
                  <w:vAlign w:val="top"/>
                </w:tcPr>
                <w:p>
                  <w:r>
                    <w:t xml:space="preserve">≥28.60</w:t>
                  </w:r>
                </w:p>
              </w:tc>
            </w:tr>
            <w:tr>
              <w:trPr/>
              <w:tc>
                <w:tcPr>
                  <w:tcW w:w="850" w:type="pct"/>
                  <w:vAlign w:val="top"/>
                </w:tcPr>
                <w:p>
                  <w:r>
                    <w:t xml:space="preserve">Male</w:t>
                  </w:r>
                </w:p>
              </w:tc>
              <w:tc>
                <w:tcPr>
                  <w:tcW w:w="450" w:type="pct"/>
                  <w:vAlign w:val="top"/>
                </w:tcPr>
                <w:p>
                  <w:r>
                    <w:t xml:space="preserve">15</w:t>
                  </w:r>
                </w:p>
              </w:tc>
              <w:tc>
                <w:tcPr>
                  <w:tcW w:w="1550" w:type="pct"/>
                  <w:vAlign w:val="top"/>
                </w:tcPr>
                <w:p>
                  <w:r>
                    <w:t xml:space="preserve">Overweight</w:t>
                  </w:r>
                </w:p>
              </w:tc>
              <w:tc>
                <w:tcPr>
                  <w:tcW w:w="2050" w:type="pct"/>
                  <w:vAlign w:val="top"/>
                </w:tcPr>
                <w:p>
                  <w:r>
                    <w:t xml:space="preserve">≥23.60 and &lt;28.60</w:t>
                  </w:r>
                </w:p>
              </w:tc>
            </w:tr>
            <w:tr>
              <w:trPr/>
              <w:tc>
                <w:tcPr>
                  <w:tcW w:w="850" w:type="pct"/>
                  <w:vAlign w:val="top"/>
                </w:tcPr>
                <w:p>
                  <w:r>
                    <w:t xml:space="preserve">Male</w:t>
                  </w:r>
                </w:p>
              </w:tc>
              <w:tc>
                <w:tcPr>
                  <w:tcW w:w="450" w:type="pct"/>
                  <w:vAlign w:val="top"/>
                </w:tcPr>
                <w:p>
                  <w:r>
                    <w:t xml:space="preserve">15</w:t>
                  </w:r>
                </w:p>
              </w:tc>
              <w:tc>
                <w:tcPr>
                  <w:tcW w:w="1550" w:type="pct"/>
                  <w:vAlign w:val="top"/>
                </w:tcPr>
                <w:p>
                  <w:r>
                    <w:t xml:space="preserve">Healthy</w:t>
                  </w:r>
                </w:p>
              </w:tc>
              <w:tc>
                <w:tcPr>
                  <w:tcW w:w="2050" w:type="pct"/>
                  <w:vAlign w:val="top"/>
                </w:tcPr>
                <w:p>
                  <w:r>
                    <w:t xml:space="preserve">≥17.26 and &lt;23.60</w:t>
                  </w:r>
                </w:p>
              </w:tc>
            </w:tr>
            <w:tr>
              <w:trPr/>
              <w:tc>
                <w:tcPr>
                  <w:tcW w:w="850" w:type="pct"/>
                  <w:vAlign w:val="top"/>
                </w:tcPr>
                <w:p>
                  <w:r>
                    <w:t xml:space="preserve">Male</w:t>
                  </w:r>
                </w:p>
              </w:tc>
              <w:tc>
                <w:tcPr>
                  <w:tcW w:w="450" w:type="pct"/>
                  <w:vAlign w:val="top"/>
                </w:tcPr>
                <w:p>
                  <w:r>
                    <w:t xml:space="preserve">15</w:t>
                  </w:r>
                </w:p>
              </w:tc>
              <w:tc>
                <w:tcPr>
                  <w:tcW w:w="1550" w:type="pct"/>
                  <w:vAlign w:val="top"/>
                </w:tcPr>
                <w:p>
                  <w:r>
                    <w:t xml:space="preserve">Underweight</w:t>
                  </w:r>
                </w:p>
              </w:tc>
              <w:tc>
                <w:tcPr>
                  <w:tcW w:w="2050" w:type="pct"/>
                  <w:vAlign w:val="top"/>
                </w:tcPr>
                <w:p>
                  <w:r>
                    <w:t xml:space="preserve">&lt;17.26</w:t>
                  </w:r>
                </w:p>
              </w:tc>
            </w:tr>
            <w:tr>
              <w:trPr/>
              <w:tc>
                <w:tcPr>
                  <w:tcW w:w="850" w:type="pct"/>
                  <w:vAlign w:val="top"/>
                </w:tcPr>
                <w:p>
                  <w:r>
                    <w:t xml:space="preserve">Male</w:t>
                  </w:r>
                </w:p>
              </w:tc>
              <w:tc>
                <w:tcPr>
                  <w:tcW w:w="450" w:type="pct"/>
                  <w:vAlign w:val="top"/>
                </w:tcPr>
                <w:p>
                  <w:r>
                    <w:t xml:space="preserve">16</w:t>
                  </w:r>
                </w:p>
              </w:tc>
              <w:tc>
                <w:tcPr>
                  <w:tcW w:w="1550" w:type="pct"/>
                  <w:vAlign w:val="top"/>
                </w:tcPr>
                <w:p>
                  <w:r>
                    <w:t xml:space="preserve">Obese</w:t>
                  </w:r>
                </w:p>
              </w:tc>
              <w:tc>
                <w:tcPr>
                  <w:tcW w:w="2050" w:type="pct"/>
                  <w:vAlign w:val="top"/>
                </w:tcPr>
                <w:p>
                  <w:r>
                    <w:t xml:space="preserve">≥29.14</w:t>
                  </w:r>
                </w:p>
              </w:tc>
            </w:tr>
            <w:tr>
              <w:trPr/>
              <w:tc>
                <w:tcPr>
                  <w:tcW w:w="850" w:type="pct"/>
                  <w:vAlign w:val="top"/>
                </w:tcPr>
                <w:p>
                  <w:r>
                    <w:t xml:space="preserve">Male</w:t>
                  </w:r>
                </w:p>
              </w:tc>
              <w:tc>
                <w:tcPr>
                  <w:tcW w:w="450" w:type="pct"/>
                  <w:vAlign w:val="top"/>
                </w:tcPr>
                <w:p>
                  <w:r>
                    <w:t xml:space="preserve">16</w:t>
                  </w:r>
                </w:p>
              </w:tc>
              <w:tc>
                <w:tcPr>
                  <w:tcW w:w="1550" w:type="pct"/>
                  <w:vAlign w:val="top"/>
                </w:tcPr>
                <w:p>
                  <w:r>
                    <w:t xml:space="preserve">Overweight</w:t>
                  </w:r>
                </w:p>
              </w:tc>
              <w:tc>
                <w:tcPr>
                  <w:tcW w:w="2050" w:type="pct"/>
                  <w:vAlign w:val="top"/>
                </w:tcPr>
                <w:p>
                  <w:r>
                    <w:t xml:space="preserve">≥24.19 and &lt;29.14</w:t>
                  </w:r>
                </w:p>
              </w:tc>
            </w:tr>
            <w:tr>
              <w:trPr/>
              <w:tc>
                <w:tcPr>
                  <w:tcW w:w="850" w:type="pct"/>
                  <w:vAlign w:val="top"/>
                </w:tcPr>
                <w:p>
                  <w:r>
                    <w:t xml:space="preserve">Male</w:t>
                  </w:r>
                </w:p>
              </w:tc>
              <w:tc>
                <w:tcPr>
                  <w:tcW w:w="450" w:type="pct"/>
                  <w:vAlign w:val="top"/>
                </w:tcPr>
                <w:p>
                  <w:r>
                    <w:t xml:space="preserve">16</w:t>
                  </w:r>
                </w:p>
              </w:tc>
              <w:tc>
                <w:tcPr>
                  <w:tcW w:w="1550" w:type="pct"/>
                  <w:vAlign w:val="top"/>
                </w:tcPr>
                <w:p>
                  <w:r>
                    <w:t xml:space="preserve">Healthy</w:t>
                  </w:r>
                </w:p>
              </w:tc>
              <w:tc>
                <w:tcPr>
                  <w:tcW w:w="2050" w:type="pct"/>
                  <w:vAlign w:val="top"/>
                </w:tcPr>
                <w:p>
                  <w:r>
                    <w:t xml:space="preserve">≥17.80 and &lt;24.19</w:t>
                  </w:r>
                </w:p>
              </w:tc>
            </w:tr>
            <w:tr>
              <w:trPr/>
              <w:tc>
                <w:tcPr>
                  <w:tcW w:w="850" w:type="pct"/>
                  <w:vAlign w:val="top"/>
                </w:tcPr>
                <w:p>
                  <w:r>
                    <w:t xml:space="preserve">Male</w:t>
                  </w:r>
                </w:p>
              </w:tc>
              <w:tc>
                <w:tcPr>
                  <w:tcW w:w="450" w:type="pct"/>
                  <w:vAlign w:val="top"/>
                </w:tcPr>
                <w:p>
                  <w:r>
                    <w:t xml:space="preserve">16</w:t>
                  </w:r>
                </w:p>
              </w:tc>
              <w:tc>
                <w:tcPr>
                  <w:tcW w:w="1550" w:type="pct"/>
                  <w:vAlign w:val="top"/>
                </w:tcPr>
                <w:p>
                  <w:r>
                    <w:t xml:space="preserve">Underweight</w:t>
                  </w:r>
                </w:p>
              </w:tc>
              <w:tc>
                <w:tcPr>
                  <w:tcW w:w="2050" w:type="pct"/>
                  <w:vAlign w:val="top"/>
                </w:tcPr>
                <w:p>
                  <w:r>
                    <w:t xml:space="preserve">&lt;17.80</w:t>
                  </w:r>
                </w:p>
              </w:tc>
            </w:tr>
            <w:tr>
              <w:trPr/>
              <w:tc>
                <w:tcPr>
                  <w:tcW w:w="850" w:type="pct"/>
                  <w:vAlign w:val="top"/>
                </w:tcPr>
                <w:p>
                  <w:r>
                    <w:t xml:space="preserve">Male</w:t>
                  </w:r>
                </w:p>
              </w:tc>
              <w:tc>
                <w:tcPr>
                  <w:tcW w:w="450" w:type="pct"/>
                  <w:vAlign w:val="top"/>
                </w:tcPr>
                <w:p>
                  <w:r>
                    <w:t xml:space="preserve">17</w:t>
                  </w:r>
                </w:p>
              </w:tc>
              <w:tc>
                <w:tcPr>
                  <w:tcW w:w="1550" w:type="pct"/>
                  <w:vAlign w:val="top"/>
                </w:tcPr>
                <w:p>
                  <w:r>
                    <w:t xml:space="preserve">Obese</w:t>
                  </w:r>
                </w:p>
              </w:tc>
              <w:tc>
                <w:tcPr>
                  <w:tcW w:w="2050" w:type="pct"/>
                  <w:vAlign w:val="top"/>
                </w:tcPr>
                <w:p>
                  <w:r>
                    <w:t xml:space="preserve">≥29.41</w:t>
                  </w:r>
                </w:p>
              </w:tc>
            </w:tr>
            <w:tr>
              <w:trPr/>
              <w:tc>
                <w:tcPr>
                  <w:tcW w:w="850" w:type="pct"/>
                  <w:vAlign w:val="top"/>
                </w:tcPr>
                <w:p>
                  <w:r>
                    <w:t xml:space="preserve">Male</w:t>
                  </w:r>
                </w:p>
              </w:tc>
              <w:tc>
                <w:tcPr>
                  <w:tcW w:w="450" w:type="pct"/>
                  <w:vAlign w:val="top"/>
                </w:tcPr>
                <w:p>
                  <w:r>
                    <w:t xml:space="preserve">17</w:t>
                  </w:r>
                </w:p>
              </w:tc>
              <w:tc>
                <w:tcPr>
                  <w:tcW w:w="1550" w:type="pct"/>
                  <w:vAlign w:val="top"/>
                </w:tcPr>
                <w:p>
                  <w:r>
                    <w:t xml:space="preserve">Overweight</w:t>
                  </w:r>
                </w:p>
              </w:tc>
              <w:tc>
                <w:tcPr>
                  <w:tcW w:w="2050" w:type="pct"/>
                  <w:vAlign w:val="top"/>
                </w:tcPr>
                <w:p>
                  <w:r>
                    <w:t xml:space="preserve">≥24.73 and &lt;29.14</w:t>
                  </w:r>
                </w:p>
              </w:tc>
            </w:tr>
            <w:tr>
              <w:trPr/>
              <w:tc>
                <w:tcPr>
                  <w:tcW w:w="850" w:type="pct"/>
                  <w:vAlign w:val="top"/>
                </w:tcPr>
                <w:p>
                  <w:r>
                    <w:t xml:space="preserve">Male</w:t>
                  </w:r>
                </w:p>
              </w:tc>
              <w:tc>
                <w:tcPr>
                  <w:tcW w:w="450" w:type="pct"/>
                  <w:vAlign w:val="top"/>
                </w:tcPr>
                <w:p>
                  <w:r>
                    <w:t xml:space="preserve">17</w:t>
                  </w:r>
                </w:p>
              </w:tc>
              <w:tc>
                <w:tcPr>
                  <w:tcW w:w="1550" w:type="pct"/>
                  <w:vAlign w:val="top"/>
                </w:tcPr>
                <w:p>
                  <w:r>
                    <w:t xml:space="preserve">Healthy</w:t>
                  </w:r>
                </w:p>
              </w:tc>
              <w:tc>
                <w:tcPr>
                  <w:tcW w:w="2050" w:type="pct"/>
                  <w:vAlign w:val="top"/>
                </w:tcPr>
                <w:p>
                  <w:r>
                    <w:t xml:space="preserve">≥18.05 and &lt;24.73</w:t>
                  </w:r>
                </w:p>
              </w:tc>
            </w:tr>
            <w:tr>
              <w:trPr/>
              <w:tc>
                <w:tcPr>
                  <w:tcW w:w="850" w:type="pct"/>
                  <w:vAlign w:val="top"/>
                </w:tcPr>
                <w:p>
                  <w:r>
                    <w:t xml:space="preserve">Male</w:t>
                  </w:r>
                </w:p>
              </w:tc>
              <w:tc>
                <w:tcPr>
                  <w:tcW w:w="450" w:type="pct"/>
                  <w:vAlign w:val="top"/>
                </w:tcPr>
                <w:p>
                  <w:r>
                    <w:t xml:space="preserve">17</w:t>
                  </w:r>
                </w:p>
              </w:tc>
              <w:tc>
                <w:tcPr>
                  <w:tcW w:w="1550" w:type="pct"/>
                  <w:vAlign w:val="top"/>
                </w:tcPr>
                <w:p>
                  <w:r>
                    <w:t xml:space="preserve">Underweight</w:t>
                  </w:r>
                </w:p>
              </w:tc>
              <w:tc>
                <w:tcPr>
                  <w:tcW w:w="2050" w:type="pct"/>
                  <w:vAlign w:val="top"/>
                </w:tcPr>
                <w:p>
                  <w:r>
                    <w:t xml:space="preserve">&lt;18.05</w:t>
                  </w:r>
                </w:p>
              </w:tc>
            </w:tr>
            <w:tr>
              <w:trPr/>
              <w:tc>
                <w:tcPr>
                  <w:tcW w:w="850" w:type="pct"/>
                  <w:vAlign w:val="top"/>
                </w:tcPr>
                <w:p>
                  <w:r>
                    <w:t xml:space="preserve">Female</w:t>
                  </w:r>
                </w:p>
              </w:tc>
              <w:tc>
                <w:tcPr>
                  <w:tcW w:w="450" w:type="pct"/>
                  <w:vAlign w:val="top"/>
                </w:tcPr>
                <w:p>
                  <w:r>
                    <w:t xml:space="preserve">15</w:t>
                  </w:r>
                </w:p>
              </w:tc>
              <w:tc>
                <w:tcPr>
                  <w:tcW w:w="1550" w:type="pct"/>
                  <w:vAlign w:val="top"/>
                </w:tcPr>
                <w:p>
                  <w:r>
                    <w:t xml:space="preserve">Obese</w:t>
                  </w:r>
                </w:p>
              </w:tc>
              <w:tc>
                <w:tcPr>
                  <w:tcW w:w="2050" w:type="pct"/>
                  <w:vAlign w:val="top"/>
                </w:tcPr>
                <w:p>
                  <w:r>
                    <w:t xml:space="preserve">≥29.29</w:t>
                  </w:r>
                </w:p>
              </w:tc>
            </w:tr>
            <w:tr>
              <w:trPr/>
              <w:tc>
                <w:tcPr>
                  <w:tcW w:w="850" w:type="pct"/>
                  <w:vAlign w:val="top"/>
                </w:tcPr>
                <w:p>
                  <w:r>
                    <w:t xml:space="preserve">Female</w:t>
                  </w:r>
                </w:p>
              </w:tc>
              <w:tc>
                <w:tcPr>
                  <w:tcW w:w="450" w:type="pct"/>
                  <w:vAlign w:val="top"/>
                </w:tcPr>
                <w:p>
                  <w:r>
                    <w:t xml:space="preserve">15</w:t>
                  </w:r>
                </w:p>
              </w:tc>
              <w:tc>
                <w:tcPr>
                  <w:tcW w:w="1550" w:type="pct"/>
                  <w:vAlign w:val="top"/>
                </w:tcPr>
                <w:p>
                  <w:r>
                    <w:t xml:space="preserve">Overweight</w:t>
                  </w:r>
                </w:p>
              </w:tc>
              <w:tc>
                <w:tcPr>
                  <w:tcW w:w="2050" w:type="pct"/>
                  <w:vAlign w:val="top"/>
                </w:tcPr>
                <w:p>
                  <w:r>
                    <w:t xml:space="preserve">≥24.17 and &lt;29.29</w:t>
                  </w:r>
                </w:p>
              </w:tc>
            </w:tr>
            <w:tr>
              <w:trPr/>
              <w:tc>
                <w:tcPr>
                  <w:tcW w:w="850" w:type="pct"/>
                  <w:vAlign w:val="top"/>
                </w:tcPr>
                <w:p>
                  <w:r>
                    <w:t xml:space="preserve">Female</w:t>
                  </w:r>
                </w:p>
              </w:tc>
              <w:tc>
                <w:tcPr>
                  <w:tcW w:w="450" w:type="pct"/>
                  <w:vAlign w:val="top"/>
                </w:tcPr>
                <w:p>
                  <w:r>
                    <w:t xml:space="preserve">15</w:t>
                  </w:r>
                </w:p>
              </w:tc>
              <w:tc>
                <w:tcPr>
                  <w:tcW w:w="1550" w:type="pct"/>
                  <w:vAlign w:val="top"/>
                </w:tcPr>
                <w:p>
                  <w:r>
                    <w:t xml:space="preserve">Healthy</w:t>
                  </w:r>
                </w:p>
              </w:tc>
              <w:tc>
                <w:tcPr>
                  <w:tcW w:w="2050" w:type="pct"/>
                  <w:vAlign w:val="top"/>
                </w:tcPr>
                <w:p>
                  <w:r>
                    <w:t xml:space="preserve">≥17.69 and &lt;24.17</w:t>
                  </w:r>
                </w:p>
              </w:tc>
            </w:tr>
            <w:tr>
              <w:trPr/>
              <w:tc>
                <w:tcPr>
                  <w:tcW w:w="850" w:type="pct"/>
                  <w:vAlign w:val="top"/>
                </w:tcPr>
                <w:p>
                  <w:r>
                    <w:t xml:space="preserve">Female</w:t>
                  </w:r>
                </w:p>
              </w:tc>
              <w:tc>
                <w:tcPr>
                  <w:tcW w:w="450" w:type="pct"/>
                  <w:vAlign w:val="top"/>
                </w:tcPr>
                <w:p>
                  <w:r>
                    <w:t xml:space="preserve">15</w:t>
                  </w:r>
                </w:p>
              </w:tc>
              <w:tc>
                <w:tcPr>
                  <w:tcW w:w="1550" w:type="pct"/>
                  <w:vAlign w:val="top"/>
                </w:tcPr>
                <w:p>
                  <w:r>
                    <w:t xml:space="preserve">Underweight</w:t>
                  </w:r>
                </w:p>
              </w:tc>
              <w:tc>
                <w:tcPr>
                  <w:tcW w:w="2050" w:type="pct"/>
                  <w:vAlign w:val="top"/>
                </w:tcPr>
                <w:p>
                  <w:r>
                    <w:t xml:space="preserve">&lt;17.69</w:t>
                  </w:r>
                </w:p>
              </w:tc>
            </w:tr>
            <w:tr>
              <w:trPr/>
              <w:tc>
                <w:tcPr>
                  <w:tcW w:w="850" w:type="pct"/>
                  <w:vAlign w:val="top"/>
                </w:tcPr>
                <w:p>
                  <w:r>
                    <w:t xml:space="preserve">Female</w:t>
                  </w:r>
                </w:p>
              </w:tc>
              <w:tc>
                <w:tcPr>
                  <w:tcW w:w="450" w:type="pct"/>
                  <w:vAlign w:val="top"/>
                </w:tcPr>
                <w:p>
                  <w:r>
                    <w:t xml:space="preserve">16</w:t>
                  </w:r>
                </w:p>
              </w:tc>
              <w:tc>
                <w:tcPr>
                  <w:tcW w:w="1550" w:type="pct"/>
                  <w:vAlign w:val="top"/>
                </w:tcPr>
                <w:p>
                  <w:r>
                    <w:t xml:space="preserve">Obese</w:t>
                  </w:r>
                </w:p>
              </w:tc>
              <w:tc>
                <w:tcPr>
                  <w:tcW w:w="2050" w:type="pct"/>
                  <w:vAlign w:val="top"/>
                </w:tcPr>
                <w:p>
                  <w:r>
                    <w:t xml:space="preserve">≥29.56</w:t>
                  </w:r>
                </w:p>
              </w:tc>
            </w:tr>
            <w:tr>
              <w:trPr/>
              <w:tc>
                <w:tcPr>
                  <w:tcW w:w="850" w:type="pct"/>
                  <w:vAlign w:val="top"/>
                </w:tcPr>
                <w:p>
                  <w:r>
                    <w:t xml:space="preserve">Female</w:t>
                  </w:r>
                </w:p>
              </w:tc>
              <w:tc>
                <w:tcPr>
                  <w:tcW w:w="450" w:type="pct"/>
                  <w:vAlign w:val="top"/>
                </w:tcPr>
                <w:p>
                  <w:r>
                    <w:t xml:space="preserve">16</w:t>
                  </w:r>
                </w:p>
              </w:tc>
              <w:tc>
                <w:tcPr>
                  <w:tcW w:w="1550" w:type="pct"/>
                  <w:vAlign w:val="top"/>
                </w:tcPr>
                <w:p>
                  <w:r>
                    <w:t xml:space="preserve">Overweight</w:t>
                  </w:r>
                </w:p>
              </w:tc>
              <w:tc>
                <w:tcPr>
                  <w:tcW w:w="2050" w:type="pct"/>
                  <w:vAlign w:val="top"/>
                </w:tcPr>
                <w:p>
                  <w:r>
                    <w:t xml:space="preserve">≥24.54 and &lt;29.56</w:t>
                  </w:r>
                </w:p>
              </w:tc>
            </w:tr>
            <w:tr>
              <w:trPr/>
              <w:tc>
                <w:tcPr>
                  <w:tcW w:w="850" w:type="pct"/>
                  <w:vAlign w:val="top"/>
                </w:tcPr>
                <w:p>
                  <w:r>
                    <w:t xml:space="preserve">Female</w:t>
                  </w:r>
                </w:p>
              </w:tc>
              <w:tc>
                <w:tcPr>
                  <w:tcW w:w="450" w:type="pct"/>
                  <w:vAlign w:val="top"/>
                </w:tcPr>
                <w:p>
                  <w:r>
                    <w:t xml:space="preserve">16</w:t>
                  </w:r>
                </w:p>
              </w:tc>
              <w:tc>
                <w:tcPr>
                  <w:tcW w:w="1550" w:type="pct"/>
                  <w:vAlign w:val="top"/>
                </w:tcPr>
                <w:p>
                  <w:r>
                    <w:t xml:space="preserve">Healthy</w:t>
                  </w:r>
                </w:p>
              </w:tc>
              <w:tc>
                <w:tcPr>
                  <w:tcW w:w="2050" w:type="pct"/>
                  <w:vAlign w:val="top"/>
                </w:tcPr>
                <w:p>
                  <w:r>
                    <w:t xml:space="preserve">≥17.91 and &lt;24.54</w:t>
                  </w:r>
                </w:p>
              </w:tc>
            </w:tr>
            <w:tr>
              <w:trPr/>
              <w:tc>
                <w:tcPr>
                  <w:tcW w:w="850" w:type="pct"/>
                  <w:vAlign w:val="top"/>
                </w:tcPr>
                <w:p>
                  <w:r>
                    <w:t xml:space="preserve">Female</w:t>
                  </w:r>
                </w:p>
              </w:tc>
              <w:tc>
                <w:tcPr>
                  <w:tcW w:w="450" w:type="pct"/>
                  <w:vAlign w:val="top"/>
                </w:tcPr>
                <w:p>
                  <w:r>
                    <w:t xml:space="preserve">16</w:t>
                  </w:r>
                </w:p>
              </w:tc>
              <w:tc>
                <w:tcPr>
                  <w:tcW w:w="1550" w:type="pct"/>
                  <w:vAlign w:val="top"/>
                </w:tcPr>
                <w:p>
                  <w:r>
                    <w:t xml:space="preserve">Underweight</w:t>
                  </w:r>
                </w:p>
              </w:tc>
              <w:tc>
                <w:tcPr>
                  <w:tcW w:w="2050" w:type="pct"/>
                  <w:vAlign w:val="top"/>
                </w:tcPr>
                <w:p>
                  <w:r>
                    <w:t xml:space="preserve">&lt;17.91</w:t>
                  </w:r>
                </w:p>
              </w:tc>
            </w:tr>
            <w:tr>
              <w:trPr/>
              <w:tc>
                <w:tcPr>
                  <w:tcW w:w="850" w:type="pct"/>
                  <w:vAlign w:val="top"/>
                </w:tcPr>
                <w:p>
                  <w:r>
                    <w:t xml:space="preserve">Female</w:t>
                  </w:r>
                </w:p>
              </w:tc>
              <w:tc>
                <w:tcPr>
                  <w:tcW w:w="450" w:type="pct"/>
                  <w:vAlign w:val="top"/>
                </w:tcPr>
                <w:p>
                  <w:r>
                    <w:t xml:space="preserve">17</w:t>
                  </w:r>
                </w:p>
              </w:tc>
              <w:tc>
                <w:tcPr>
                  <w:tcW w:w="1550" w:type="pct"/>
                  <w:vAlign w:val="top"/>
                </w:tcPr>
                <w:p>
                  <w:r>
                    <w:t xml:space="preserve">Obese</w:t>
                  </w:r>
                </w:p>
              </w:tc>
              <w:tc>
                <w:tcPr>
                  <w:tcW w:w="2050" w:type="pct"/>
                  <w:vAlign w:val="top"/>
                </w:tcPr>
                <w:p>
                  <w:r>
                    <w:t xml:space="preserve">≥29.84</w:t>
                  </w:r>
                </w:p>
              </w:tc>
            </w:tr>
            <w:tr>
              <w:trPr/>
              <w:tc>
                <w:tcPr>
                  <w:tcW w:w="850" w:type="pct"/>
                  <w:vAlign w:val="top"/>
                </w:tcPr>
                <w:p>
                  <w:r>
                    <w:t xml:space="preserve">Female</w:t>
                  </w:r>
                </w:p>
              </w:tc>
              <w:tc>
                <w:tcPr>
                  <w:tcW w:w="450" w:type="pct"/>
                  <w:vAlign w:val="top"/>
                </w:tcPr>
                <w:p>
                  <w:r>
                    <w:t xml:space="preserve">17</w:t>
                  </w:r>
                </w:p>
              </w:tc>
              <w:tc>
                <w:tcPr>
                  <w:tcW w:w="1550" w:type="pct"/>
                  <w:vAlign w:val="top"/>
                </w:tcPr>
                <w:p>
                  <w:r>
                    <w:t xml:space="preserve">Overweight</w:t>
                  </w:r>
                </w:p>
              </w:tc>
              <w:tc>
                <w:tcPr>
                  <w:tcW w:w="2050" w:type="pct"/>
                  <w:vAlign w:val="top"/>
                </w:tcPr>
                <w:p>
                  <w:r>
                    <w:t xml:space="preserve">≥24.85 and &lt;29.84</w:t>
                  </w:r>
                </w:p>
              </w:tc>
            </w:tr>
            <w:tr>
              <w:trPr/>
              <w:tc>
                <w:tcPr>
                  <w:tcW w:w="850" w:type="pct"/>
                  <w:vAlign w:val="top"/>
                </w:tcPr>
                <w:p>
                  <w:r>
                    <w:t xml:space="preserve">Female</w:t>
                  </w:r>
                </w:p>
              </w:tc>
              <w:tc>
                <w:tcPr>
                  <w:tcW w:w="450" w:type="pct"/>
                  <w:vAlign w:val="top"/>
                </w:tcPr>
                <w:p>
                  <w:r>
                    <w:t xml:space="preserve">17</w:t>
                  </w:r>
                </w:p>
              </w:tc>
              <w:tc>
                <w:tcPr>
                  <w:tcW w:w="1550" w:type="pct"/>
                  <w:vAlign w:val="top"/>
                </w:tcPr>
                <w:p>
                  <w:r>
                    <w:t xml:space="preserve">Healthy</w:t>
                  </w:r>
                </w:p>
              </w:tc>
              <w:tc>
                <w:tcPr>
                  <w:tcW w:w="2050" w:type="pct"/>
                  <w:vAlign w:val="top"/>
                </w:tcPr>
                <w:p>
                  <w:r>
                    <w:t xml:space="preserve">≥18.38 and &lt;24.85</w:t>
                  </w:r>
                </w:p>
              </w:tc>
            </w:tr>
            <w:tr>
              <w:trPr/>
              <w:tc>
                <w:tcPr>
                  <w:tcW w:w="850" w:type="pct"/>
                  <w:vAlign w:val="top"/>
                </w:tcPr>
                <w:p>
                  <w:r>
                    <w:t xml:space="preserve">Female</w:t>
                  </w:r>
                </w:p>
              </w:tc>
              <w:tc>
                <w:tcPr>
                  <w:tcW w:w="450" w:type="pct"/>
                  <w:vAlign w:val="top"/>
                </w:tcPr>
                <w:p>
                  <w:r>
                    <w:t xml:space="preserve">17</w:t>
                  </w:r>
                </w:p>
              </w:tc>
              <w:tc>
                <w:tcPr>
                  <w:tcW w:w="1550" w:type="pct"/>
                  <w:vAlign w:val="top"/>
                </w:tcPr>
                <w:p>
                  <w:r>
                    <w:t xml:space="preserve">Underweight</w:t>
                  </w:r>
                </w:p>
              </w:tc>
              <w:tc>
                <w:tcPr>
                  <w:tcW w:w="2050" w:type="pct"/>
                  <w:vAlign w:val="top"/>
                </w:tcPr>
                <w:p>
                  <w:r>
                    <w:t xml:space="preserve">&lt;18.38</w:t>
                  </w:r>
                </w:p>
              </w:tc>
            </w:tr>
            <w:tr>
              <w:trPr/>
              <w:tc>
                <w:tcPr>
                  <w:tcW w:w="850" w:type="pct"/>
                  <w:vAlign w:val="top"/>
                </w:tcPr>
                <w:p>
                  <w:r>
                    <w:t xml:space="preserve">All</w:t>
                  </w:r>
                </w:p>
              </w:tc>
              <w:tc>
                <w:tcPr>
                  <w:tcW w:w="450" w:type="pct"/>
                  <w:vAlign w:val="top"/>
                </w:tcPr>
                <w:p>
                  <w:r>
                    <w:t xml:space="preserve">&gt;18</w:t>
                  </w:r>
                </w:p>
              </w:tc>
              <w:tc>
                <w:tcPr>
                  <w:tcW w:w="1550" w:type="pct"/>
                  <w:vAlign w:val="top"/>
                </w:tcPr>
                <w:p>
                  <w:r>
                    <w:t xml:space="preserve">Obese</w:t>
                  </w:r>
                </w:p>
              </w:tc>
              <w:tc>
                <w:tcPr>
                  <w:tcW w:w="2050" w:type="pct"/>
                  <w:vAlign w:val="top"/>
                </w:tcPr>
                <w:p>
                  <w:r>
                    <w:t xml:space="preserve">≥30</w:t>
                  </w:r>
                </w:p>
              </w:tc>
            </w:tr>
            <w:tr>
              <w:trPr/>
              <w:tc>
                <w:tcPr>
                  <w:tcW w:w="850" w:type="pct"/>
                  <w:vAlign w:val="top"/>
                </w:tcPr>
                <w:p>
                  <w:r>
                    <w:t xml:space="preserve">All</w:t>
                  </w:r>
                </w:p>
              </w:tc>
              <w:tc>
                <w:tcPr>
                  <w:tcW w:w="450" w:type="pct"/>
                  <w:vAlign w:val="top"/>
                </w:tcPr>
                <w:p>
                  <w:r>
                    <w:t xml:space="preserve">&gt;18</w:t>
                  </w:r>
                </w:p>
              </w:tc>
              <w:tc>
                <w:tcPr>
                  <w:tcW w:w="1550" w:type="pct"/>
                  <w:vAlign w:val="top"/>
                </w:tcPr>
                <w:p>
                  <w:r>
                    <w:t xml:space="preserve">Overweight</w:t>
                  </w:r>
                </w:p>
              </w:tc>
              <w:tc>
                <w:tcPr>
                  <w:tcW w:w="2050" w:type="pct"/>
                  <w:vAlign w:val="top"/>
                </w:tcPr>
                <w:p>
                  <w:r>
                    <w:t xml:space="preserve">≥25 and &lt;30</w:t>
                  </w:r>
                </w:p>
              </w:tc>
            </w:tr>
            <w:tr>
              <w:trPr/>
              <w:tc>
                <w:tcPr>
                  <w:tcW w:w="850" w:type="pct"/>
                  <w:vAlign w:val="top"/>
                </w:tcPr>
                <w:p>
                  <w:r>
                    <w:t xml:space="preserve">All</w:t>
                  </w:r>
                </w:p>
              </w:tc>
              <w:tc>
                <w:tcPr>
                  <w:tcW w:w="450" w:type="pct"/>
                  <w:vAlign w:val="top"/>
                </w:tcPr>
                <w:p>
                  <w:r>
                    <w:t xml:space="preserve">&gt;18</w:t>
                  </w:r>
                </w:p>
              </w:tc>
              <w:tc>
                <w:tcPr>
                  <w:tcW w:w="1550" w:type="pct"/>
                  <w:vAlign w:val="top"/>
                </w:tcPr>
                <w:p>
                  <w:r>
                    <w:t xml:space="preserve">Healthy</w:t>
                  </w:r>
                </w:p>
              </w:tc>
              <w:tc>
                <w:tcPr>
                  <w:tcW w:w="2050" w:type="pct"/>
                  <w:vAlign w:val="top"/>
                </w:tcPr>
                <w:p>
                  <w:r>
                    <w:t xml:space="preserve">≥18.5and &lt;25</w:t>
                  </w:r>
                </w:p>
              </w:tc>
            </w:tr>
            <w:tr>
              <w:trPr/>
              <w:tc>
                <w:tcPr>
                  <w:tcW w:w="850" w:type="pct"/>
                  <w:vAlign w:val="top"/>
                </w:tcPr>
                <w:p>
                  <w:r>
                    <w:t xml:space="preserve">All</w:t>
                  </w:r>
                </w:p>
              </w:tc>
              <w:tc>
                <w:tcPr>
                  <w:tcW w:w="450" w:type="pct"/>
                  <w:vAlign w:val="top"/>
                </w:tcPr>
                <w:p>
                  <w:r>
                    <w:t xml:space="preserve">&gt;18</w:t>
                  </w:r>
                </w:p>
              </w:tc>
              <w:tc>
                <w:tcPr>
                  <w:tcW w:w="1550" w:type="pct"/>
                  <w:vAlign w:val="top"/>
                </w:tcPr>
                <w:p>
                  <w:r>
                    <w:t xml:space="preserve">Underweight</w:t>
                  </w:r>
                </w:p>
              </w:tc>
              <w:tc>
                <w:tcPr>
                  <w:tcW w:w="2050" w:type="pct"/>
                  <w:vAlign w:val="top"/>
                </w:tcPr>
                <w:p>
                  <w:r>
                    <w:t xml:space="preserve">&lt;18.5</w:t>
                  </w:r>
                </w:p>
              </w:tc>
            </w:tr>
          </w:tbl>
          <w:p>
            <w:r>
              <w:t xml:space="preserve"> </w:t>
            </w:r>
          </w:p>
          <w:p>
            <w:r>
              <w:t xml:space="preserve"> </w:t>
            </w:r>
          </w:p>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aaa5cc6c214332">
              <w:r>
                <w:rPr>
                  <w:rStyle w:val="Hyperlink"/>
                </w:rPr>
                <w:t xml:space="preserve">Practice incentives program eligible data set NBEDS 2020–21</w:t>
              </w:r>
            </w:hyperlink>
          </w:p>
          <w:p>
            <w:pPr>
              <w:pStyle w:val="registration-status"/>
              <w:spacing w:before="0" w:after="0"/>
            </w:pPr>
            <w:hyperlink w:history="true" r:id="Ra8e2b310224041fc">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234c32d9a4ece">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2bb6e73d544ea">
                    <w:r>
                      <w:rPr>
                        <w:rStyle w:val="Hyperlink"/>
                      </w:rPr>
                      <w:t xml:space="preserve">Person—body mass index (classification),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e73b878134a2f">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14285a0954a6b">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7436ed0b340d3">
                    <w:r>
                      <w:rPr>
                        <w:rStyle w:val="Hyperlink"/>
                      </w:rPr>
                      <w:t xml:space="preserve">Primary Health Network—number of regular clients with a body mass index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4ad74159960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71be38067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d741599604288" /><Relationship Type="http://schemas.openxmlformats.org/officeDocument/2006/relationships/header" Target="/word/header1.xml" Id="R01de776f024e401e" /><Relationship Type="http://schemas.openxmlformats.org/officeDocument/2006/relationships/settings" Target="/word/settings.xml" Id="R246a713c3b6e496d" /><Relationship Type="http://schemas.openxmlformats.org/officeDocument/2006/relationships/styles" Target="/word/styles.xml" Id="R9eaafc1c117440e3" /><Relationship Type="http://schemas.openxmlformats.org/officeDocument/2006/relationships/hyperlink" Target="https://meteor-uat.aihw.gov.au/RegistrationAuthority/14" TargetMode="External" Id="R7a77a90abab14c26" /><Relationship Type="http://schemas.openxmlformats.org/officeDocument/2006/relationships/hyperlink" Target="https://meteor-uat.aihw.gov.au/content/729962" TargetMode="External" Id="Ree464bcc4b024d3a" /><Relationship Type="http://schemas.openxmlformats.org/officeDocument/2006/relationships/hyperlink" Target="https://meteor-uat.aihw.gov.au/content/729962" TargetMode="External" Id="R9022dd1f39f04a30" /><Relationship Type="http://schemas.openxmlformats.org/officeDocument/2006/relationships/hyperlink" Target="https://meteor-uat.aihw.gov.au/content/728927" TargetMode="External" Id="R09aaa5cc6c214332" /><Relationship Type="http://schemas.openxmlformats.org/officeDocument/2006/relationships/hyperlink" Target="https://meteor-uat.aihw.gov.au/RegistrationAuthority/14" TargetMode="External" Id="Ra8e2b310224041fc" /><Relationship Type="http://schemas.openxmlformats.org/officeDocument/2006/relationships/hyperlink" Target="https://meteor-uat.aihw.gov.au/content/730216" TargetMode="External" Id="R950234c32d9a4ece" /><Relationship Type="http://schemas.openxmlformats.org/officeDocument/2006/relationships/hyperlink" Target="https://meteor-uat.aihw.gov.au/content/730227" TargetMode="External" Id="Rc452bb6e73d544ea" /><Relationship Type="http://schemas.openxmlformats.org/officeDocument/2006/relationships/hyperlink" Target="https://meteor-uat.aihw.gov.au/content/730592" TargetMode="External" Id="R51be73b878134a2f" /><Relationship Type="http://schemas.openxmlformats.org/officeDocument/2006/relationships/hyperlink" Target="https://meteor-uat.aihw.gov.au/content/730622" TargetMode="External" Id="R7fa14285a0954a6b" /><Relationship Type="http://schemas.openxmlformats.org/officeDocument/2006/relationships/hyperlink" Target="https://meteor-uat.aihw.gov.au/content/728705" TargetMode="External" Id="Rc3b7436ed0b340d3" /></Relationships>
</file>

<file path=word/_rels/header1.xml.rels>&#65279;<?xml version="1.0" encoding="utf-8"?><Relationships xmlns="http://schemas.openxmlformats.org/package/2006/relationships"><Relationship Type="http://schemas.openxmlformats.org/officeDocument/2006/relationships/image" Target="/media/image.png" Id="R96871be380674dad" /></Relationships>
</file>