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1f07fb1b94014"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04 Proportion of regular clients aged 65 and over who were immunised against influenza,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04 Proportion of regular clients aged 65 and over who were immunised against influenza,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- 04 Proportion of regular clients aged 65 and over who were immunised against influenza,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29fcce0fd452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65 years and over who were immunised against influenza in the previous 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administration of influenza vaccine to persons at risk of complications of infection is the single most important measure in preventing or attenuating influenza infection and preventing mortality. There is evidence that influenza vaccine reduces hospitalisations from influenza and pneumonia and all-cause mortality in adults aged ≥65 years of age. While best practice guidelines recommend annual immunisation, a 15-month interval allows for cases when a client decides to receive a vaccine earlier than recommended (e.g. from a pharmacy), or delay and wait for the release of an ‘enhanced’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ef7614c2344c94">
              <w:r>
                <w:rPr>
                  <w:rStyle w:val="Hyperlink"/>
                </w:rPr>
                <w:t xml:space="preserve">Practice Incentives Program Quality Improvement (PIP QI), 2020</w:t>
              </w:r>
            </w:hyperlink>
          </w:p>
          <w:p>
            <w:pPr>
              <w:pStyle w:val="registration-status"/>
              <w:spacing w:before="0" w:after="0"/>
            </w:pPr>
            <w:hyperlink w:history="true" r:id="R71dcafb051b54493">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aged 65 years and over and who are immunised against influenza.</w:t>
            </w:r>
            <w:r>
              <w:br/>
            </w:r>
            <w:r>
              <w:rPr>
                <w:rStyle w:val="row-content-rich-text"/>
              </w:rPr>
              <w:t xml:space="preserve">A person is immunised against influenza if they have received an influenza vaccine within the previous 15 months.</w:t>
            </w:r>
          </w:p>
          <w:p>
            <w:pPr>
              <w:spacing w:after="160"/>
            </w:pPr>
            <w:r>
              <w:rPr>
                <w:rStyle w:val="row-content-rich-text"/>
              </w:rPr>
              <w:t xml:space="preserve">Data are reported quarterly for services delivered in the previous 12 months.</w:t>
            </w:r>
            <w:r>
              <w:br/>
            </w:r>
            <w:r>
              <w:rPr>
                <w:rStyle w:val="row-content-rich-text"/>
              </w:rPr>
              <w:t xml:space="preserve">Results arising from clinical intervention conducted outside of the service, that are known by the service and included in the patient record, are included in the calculation of this indicator.</w:t>
            </w:r>
            <w:r>
              <w:br/>
            </w:r>
            <w:r>
              <w:rPr>
                <w:rStyle w:val="row-content-rich-text"/>
              </w:rPr>
              <w:t xml:space="preserve">Exclude clients from the calculation if they:</w:t>
            </w:r>
          </w:p>
          <w:p>
            <w:pPr>
              <w:pStyle w:val="ListParagraph"/>
              <w:numPr>
                <w:ilvl w:val="0"/>
                <w:numId w:val="2"/>
              </w:numPr>
            </w:pPr>
            <w:r>
              <w:rPr>
                <w:rStyle w:val="row-content-rich-text"/>
              </w:rPr>
              <w:t xml:space="preserve">did not have the immunisation due to documented medical reasons (e.g. allergy), system reasons (vaccine not available), or patient reasons (e.g. refusal) or</w:t>
            </w:r>
          </w:p>
          <w:p>
            <w:pPr>
              <w:pStyle w:val="ListParagraph"/>
              <w:numPr>
                <w:ilvl w:val="0"/>
                <w:numId w:val="2"/>
              </w:numPr>
            </w:pPr>
            <w:r>
              <w:rPr>
                <w:rStyle w:val="row-content-rich-text"/>
              </w:rPr>
              <w:t xml:space="preserve">had results from measurements conducted outside of the service which were not available to the service </w:t>
            </w:r>
            <w:r>
              <w:rPr>
                <w:rStyle w:val="row-content-rich-text"/>
                <w:u w:val="single"/>
              </w:rPr>
              <w:t xml:space="preserve">and</w:t>
            </w:r>
            <w:r>
              <w:rPr>
                <w:rStyle w:val="row-content-rich-text"/>
              </w:rPr>
              <w:t xml:space="preserve"> had not visited the service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65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Influenza immunisation indicator</w:t>
            </w:r>
          </w:p>
          <w:p>
            <w:r>
              <w:rPr>
                <w:rStyle w:val="row-content"/>
                <w:b/>
              </w:rPr>
              <w:t xml:space="preserve">Data Source</w:t>
            </w:r>
          </w:p>
          <w:p>
            <w:hyperlink w:history="true" r:id="R03fdb4f1c95c4f0d">
              <w:r>
                <w:rPr>
                  <w:rStyle w:val="Hyperlink"/>
                </w:rPr>
                <w:t xml:space="preserve">Participating Practice Clinical Information System</w:t>
              </w:r>
            </w:hyperlink>
          </w:p>
          <w:p>
            <w:r>
              <w:rPr>
                <w:rStyle w:val="row-content"/>
                <w:b/>
              </w:rPr>
              <w:t xml:space="preserve">NMDS / DSS</w:t>
            </w:r>
          </w:p>
          <w:p>
            <w:hyperlink w:history="true" r:id="Rdb7a4ccdfef0458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804a74107f4d4469">
              <w:r>
                <w:rPr>
                  <w:rStyle w:val="Hyperlink"/>
                </w:rPr>
                <w:t xml:space="preserve">Participating Practice Clinical Information System</w:t>
              </w:r>
            </w:hyperlink>
          </w:p>
          <w:p>
            <w:r>
              <w:rPr>
                <w:rStyle w:val="row-content"/>
                <w:b/>
              </w:rPr>
              <w:t xml:space="preserve">NMDS / DSS</w:t>
            </w:r>
          </w:p>
          <w:p>
            <w:hyperlink w:history="true" r:id="Ra8bdaae0cca34cf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065236a5a67a453e">
              <w:r>
                <w:rPr>
                  <w:rStyle w:val="Hyperlink"/>
                </w:rPr>
                <w:t xml:space="preserve">Participating Practice Clinical Information System</w:t>
              </w:r>
            </w:hyperlink>
          </w:p>
          <w:p>
            <w:r>
              <w:rPr>
                <w:rStyle w:val="row-content"/>
                <w:b/>
              </w:rPr>
              <w:t xml:space="preserve">NMDS / DSS</w:t>
            </w:r>
          </w:p>
          <w:p>
            <w:hyperlink w:history="true" r:id="Rf2d3cabd13d3441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1aff1818527b4560">
              <w:r>
                <w:rPr>
                  <w:rStyle w:val="Hyperlink"/>
                </w:rPr>
                <w:t xml:space="preserve">Participating Practice Clinical Information System</w:t>
              </w:r>
            </w:hyperlink>
          </w:p>
          <w:p>
            <w:r>
              <w:rPr>
                <w:rStyle w:val="row-content"/>
                <w:b/>
              </w:rPr>
              <w:t xml:space="preserve">NMDS / DSS</w:t>
            </w:r>
          </w:p>
          <w:p>
            <w:hyperlink w:history="true" r:id="R23a21d41aeba44c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81507be6fba045a2">
              <w:r>
                <w:rPr>
                  <w:rStyle w:val="Hyperlink"/>
                </w:rPr>
                <w:t xml:space="preserve">Participating Practice Clinical Information System</w:t>
              </w:r>
            </w:hyperlink>
          </w:p>
          <w:p>
            <w:r>
              <w:rPr>
                <w:rStyle w:val="row-content"/>
                <w:b/>
              </w:rPr>
              <w:t xml:space="preserve">NMDS / DSS</w:t>
            </w:r>
          </w:p>
          <w:p>
            <w:hyperlink w:history="true" r:id="Rb511554265a24c4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deb5c23557f54296">
              <w:r>
                <w:rPr>
                  <w:rStyle w:val="Hyperlink"/>
                </w:rPr>
                <w:t xml:space="preserve">Participating Practice Clinical Information System</w:t>
              </w:r>
            </w:hyperlink>
          </w:p>
          <w:p>
            <w:r>
              <w:rPr>
                <w:rStyle w:val="row-content"/>
                <w:b/>
              </w:rPr>
              <w:t xml:space="preserve">NMDS / DSS</w:t>
            </w:r>
          </w:p>
          <w:p>
            <w:hyperlink w:history="true" r:id="R32c2c049cb7d4df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7ba725f6cdfe4fd6">
              <w:r>
                <w:rPr>
                  <w:rStyle w:val="Hyperlink"/>
                </w:rPr>
                <w:t xml:space="preserve">Participating Practice Clinical Information System</w:t>
              </w:r>
            </w:hyperlink>
          </w:p>
          <w:p>
            <w:r>
              <w:rPr>
                <w:rStyle w:val="row-content"/>
                <w:b/>
              </w:rPr>
              <w:t xml:space="preserve">NMDS / DSS</w:t>
            </w:r>
          </w:p>
          <w:p>
            <w:hyperlink w:history="true" r:id="R3138d6dff0414a3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dc59b3075eb34855">
              <w:r>
                <w:rPr>
                  <w:rStyle w:val="Hyperlink"/>
                </w:rPr>
                <w:t xml:space="preserve">Participating Practice Clinical Information System</w:t>
              </w:r>
            </w:hyperlink>
          </w:p>
          <w:p>
            <w:r>
              <w:rPr>
                <w:rStyle w:val="row-content"/>
                <w:b/>
              </w:rPr>
              <w:t xml:space="preserve">NMDS / DSS</w:t>
            </w:r>
          </w:p>
          <w:p>
            <w:hyperlink w:history="true" r:id="Rec28beaa496c45b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dd7727e7004e8f">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cafdacdb88441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afaabcf5ac174703">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47db71673ff545be">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7373e38b64e04f2f">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64e88874bef24f1d">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59ec75b8b7479d">
              <w:r>
                <w:rPr>
                  <w:rStyle w:val="Hyperlink"/>
                </w:rPr>
                <w:t xml:space="preserve">Practice incentives program eligible data set NBEDS 2020–21</w:t>
              </w:r>
            </w:hyperlink>
          </w:p>
          <w:p>
            <w:pPr>
              <w:pStyle w:val="registration-status"/>
              <w:spacing w:before="0" w:after="0"/>
            </w:pPr>
            <w:hyperlink w:history="true" r:id="Rb3e499c005aa4bbf">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b445ceb6216c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729791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6c29ddba6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5ceb6216c44fe" /><Relationship Type="http://schemas.openxmlformats.org/officeDocument/2006/relationships/header" Target="/word/header1.xml" Id="R6e2dca25b00241e9" /><Relationship Type="http://schemas.openxmlformats.org/officeDocument/2006/relationships/settings" Target="/word/settings.xml" Id="R640f627e42fe4759" /><Relationship Type="http://schemas.openxmlformats.org/officeDocument/2006/relationships/styles" Target="/word/styles.xml" Id="R941e506dd97b4f4b" /><Relationship Type="http://schemas.openxmlformats.org/officeDocument/2006/relationships/numbering" Target="/word/numbering.xml" Id="Rd5b029f9dc904774" /><Relationship Type="http://schemas.openxmlformats.org/officeDocument/2006/relationships/hyperlink" Target="https://meteor-uat.aihw.gov.au/RegistrationAuthority/14" TargetMode="External" Id="R78629fcce0fd4524" /><Relationship Type="http://schemas.openxmlformats.org/officeDocument/2006/relationships/hyperlink" Target="https://meteor-uat.aihw.gov.au/content/729603" TargetMode="External" Id="Rdcef7614c2344c94" /><Relationship Type="http://schemas.openxmlformats.org/officeDocument/2006/relationships/hyperlink" Target="https://meteor-uat.aihw.gov.au/RegistrationAuthority/14" TargetMode="External" Id="R71dcafb051b54493" /><Relationship Type="http://schemas.openxmlformats.org/officeDocument/2006/relationships/hyperlink" Target="https://meteor-uat.aihw.gov.au/content/729762" TargetMode="External" Id="R03fdb4f1c95c4f0d" /><Relationship Type="http://schemas.openxmlformats.org/officeDocument/2006/relationships/hyperlink" Target="https://meteor-uat.aihw.gov.au/content/728927" TargetMode="External" Id="Rdb7a4ccdfef04580" /><Relationship Type="http://schemas.openxmlformats.org/officeDocument/2006/relationships/hyperlink" Target="https://meteor-uat.aihw.gov.au/content/729762" TargetMode="External" Id="R804a74107f4d4469" /><Relationship Type="http://schemas.openxmlformats.org/officeDocument/2006/relationships/hyperlink" Target="https://meteor-uat.aihw.gov.au/content/728927" TargetMode="External" Id="Ra8bdaae0cca34cf4" /><Relationship Type="http://schemas.openxmlformats.org/officeDocument/2006/relationships/hyperlink" Target="https://meteor-uat.aihw.gov.au/content/729762" TargetMode="External" Id="R065236a5a67a453e" /><Relationship Type="http://schemas.openxmlformats.org/officeDocument/2006/relationships/hyperlink" Target="https://meteor-uat.aihw.gov.au/content/728927" TargetMode="External" Id="Rf2d3cabd13d34417" /><Relationship Type="http://schemas.openxmlformats.org/officeDocument/2006/relationships/hyperlink" Target="https://meteor-uat.aihw.gov.au/content/729762" TargetMode="External" Id="R1aff1818527b4560" /><Relationship Type="http://schemas.openxmlformats.org/officeDocument/2006/relationships/hyperlink" Target="https://meteor-uat.aihw.gov.au/content/728927" TargetMode="External" Id="R23a21d41aeba44c4" /><Relationship Type="http://schemas.openxmlformats.org/officeDocument/2006/relationships/hyperlink" Target="https://meteor-uat.aihw.gov.au/content/729762" TargetMode="External" Id="R81507be6fba045a2" /><Relationship Type="http://schemas.openxmlformats.org/officeDocument/2006/relationships/hyperlink" Target="https://meteor-uat.aihw.gov.au/content/728927" TargetMode="External" Id="Rb511554265a24c48" /><Relationship Type="http://schemas.openxmlformats.org/officeDocument/2006/relationships/hyperlink" Target="https://meteor-uat.aihw.gov.au/content/729762" TargetMode="External" Id="Rdeb5c23557f54296" /><Relationship Type="http://schemas.openxmlformats.org/officeDocument/2006/relationships/hyperlink" Target="https://meteor-uat.aihw.gov.au/content/728927" TargetMode="External" Id="R32c2c049cb7d4dfa" /><Relationship Type="http://schemas.openxmlformats.org/officeDocument/2006/relationships/hyperlink" Target="https://meteor-uat.aihw.gov.au/content/729762" TargetMode="External" Id="R7ba725f6cdfe4fd6" /><Relationship Type="http://schemas.openxmlformats.org/officeDocument/2006/relationships/hyperlink" Target="https://meteor-uat.aihw.gov.au/content/728927" TargetMode="External" Id="R3138d6dff0414a38" /><Relationship Type="http://schemas.openxmlformats.org/officeDocument/2006/relationships/hyperlink" Target="https://meteor-uat.aihw.gov.au/content/729762" TargetMode="External" Id="Rdc59b3075eb34855" /><Relationship Type="http://schemas.openxmlformats.org/officeDocument/2006/relationships/hyperlink" Target="https://meteor-uat.aihw.gov.au/content/728927" TargetMode="External" Id="Rec28beaa496c45be" /><Relationship Type="http://schemas.openxmlformats.org/officeDocument/2006/relationships/hyperlink" Target="https://meteor-uat.aihw.gov.au/content/729762" TargetMode="External" Id="R20dd7727e7004e8f" /><Relationship Type="http://schemas.openxmlformats.org/officeDocument/2006/relationships/hyperlink" Target="https://meteor-uat.aihw.gov.au/content/246013" TargetMode="External" Id="R76cafdacdb884410" /><Relationship Type="http://schemas.openxmlformats.org/officeDocument/2006/relationships/hyperlink" Target="https://www1.health.gov.au/internet/main%0b/publishing.nsf/Content/PIP-QI_Incentive_guidance" TargetMode="External" Id="Rafaabcf5ac174703"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47db71673ff545be" /><Relationship Type="http://schemas.openxmlformats.org/officeDocument/2006/relationships/hyperlink" Target="https://www1.health.gov.au/internet/main/publishing.nsf/Content/46506AF50A4824B6CA25848600113FFF/$File/PIP-QI-Technical-Specifications.pdf" TargetMode="External" Id="R7373e38b64e04f2f" /><Relationship Type="http://schemas.openxmlformats.org/officeDocument/2006/relationships/hyperlink" Target="https://www1.health.gov.au/internet/main/publishing.nsf/Content/%0b46506AF50A4824B6CA25848600113FFF/$File/PIP QI - %0bUser Guide.pdf" TargetMode="External" Id="R64e88874bef24f1d" /><Relationship Type="http://schemas.openxmlformats.org/officeDocument/2006/relationships/hyperlink" Target="https://meteor-uat.aihw.gov.au/content/728927" TargetMode="External" Id="R0459ec75b8b7479d" /><Relationship Type="http://schemas.openxmlformats.org/officeDocument/2006/relationships/hyperlink" Target="https://meteor-uat.aihw.gov.au/RegistrationAuthority/14" TargetMode="External" Id="Rb3e499c005aa4bbf" /></Relationships>
</file>

<file path=word/_rels/header1.xml.rels>&#65279;<?xml version="1.0" encoding="utf-8"?><Relationships xmlns="http://schemas.openxmlformats.org/package/2006/relationships"><Relationship Type="http://schemas.openxmlformats.org/officeDocument/2006/relationships/image" Target="/media/image.png" Id="R2806c29ddba64104" /></Relationships>
</file>