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e13f7957e427a"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3d-Proportion of women who had a forceps-assisted birth with episiotomy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3d-Proportion of women who had a forceps-assisted birth with episiotomy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3d-Proportion of women who had a forceps-assisted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e38570e3c42b7">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forceps-assisted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0d8e3009c14206">
              <w:r>
                <w:rPr>
                  <w:rStyle w:val="Hyperlink"/>
                </w:rPr>
                <w:t xml:space="preserve">Clinical care standard indicators: Third and Fourth Degree Perineal Tears</w:t>
              </w:r>
            </w:hyperlink>
          </w:p>
          <w:p>
            <w:pPr>
              <w:pStyle w:val="registration-status"/>
              <w:spacing w:before="0" w:after="0"/>
            </w:pPr>
            <w:hyperlink w:history="true" r:id="R0ffb11bf870a4397">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forceps-assisted birth with episiotomy.</w:t>
            </w:r>
          </w:p>
          <w:p>
            <w:pPr>
              <w:spacing w:after="160"/>
            </w:pPr>
            <w:r>
              <w:rPr>
                <w:rStyle w:val="row-content-rich-text"/>
              </w:rPr>
              <w:t xml:space="preserve">Include separations where a code for forceps-assisted delivery was recorded (Table A), AND an episiotomy was also recorded (Table B). </w:t>
            </w:r>
          </w:p>
          <w:p>
            <w:pPr>
              <w:spacing w:after="160"/>
            </w:pPr>
            <w:r>
              <w:rPr>
                <w:rStyle w:val="row-content-rich-text"/>
                <w:b/>
              </w:rPr>
              <w:t xml:space="preserve">Table A: 10th Edition ACHI codes for forceps-assisted delivery</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rPr>
                <w:b/>
              </w:rPr>
              <w:t xml:space="preserve">Table B: 10th Edition ACHI code for episiotomy</w:t>
            </w:r>
          </w:p>
          <w:tbl>
            <w:tblPr>
              <w:tblStyle w:val="TableGrid"/>
              <w:tblW w:w="5000" w:type="pct"/>
              <w:tblLayout w:type="autofit"/>
            </w:tblPr>
            <w:tblGrid>
              <w:gridCol/>
              <w:gridCol/>
            </w:tblGrid>
            <w:tr>
              <w:trPr/>
              <w:tc>
                <w:tcPr>
                  <w:tcW w:w="1800" w:type="pct"/>
                  <w:vAlign w:val="top"/>
                </w:tcPr>
                <w:p>
                  <w:r>
                    <w:t xml:space="preserve">Code</w:t>
                  </w:r>
                </w:p>
              </w:tc>
              <w:tc>
                <w:tcPr>
                  <w:tcW w:w="3150" w:type="pct"/>
                  <w:vAlign w:val="top"/>
                </w:tcPr>
                <w:p>
                  <w:r>
                    <w:t xml:space="preserve">Description</w:t>
                  </w:r>
                </w:p>
              </w:tc>
            </w:tr>
            <w:tr>
              <w:trPr/>
              <w:tc>
                <w:tcPr>
                  <w:tcW w:w="1800" w:type="pct"/>
                  <w:vAlign w:val="top"/>
                </w:tcPr>
                <w:p>
                  <w:r>
                    <w:t xml:space="preserve">90472-00</w:t>
                  </w:r>
                </w:p>
              </w:tc>
              <w:tc>
                <w:tcPr>
                  <w:tcW w:w="3150" w:type="pct"/>
                  <w:vAlign w:val="top"/>
                </w:tcPr>
                <w:p>
                  <w:r>
                    <w:t xml:space="preserve">Episiotomy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fdb721f9b84ff4">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forceps-assisted birth. </w:t>
            </w:r>
          </w:p>
          <w:p>
            <w:pPr>
              <w:spacing w:after="160"/>
            </w:pPr>
            <w:r>
              <w:rPr>
                <w:rStyle w:val="row-content-rich-text"/>
              </w:rPr>
              <w:t xml:space="preserve">Include separations where a code for forceps-assisted delivery was recorded (Table A). </w:t>
            </w:r>
          </w:p>
          <w:p>
            <w:pPr>
              <w:spacing w:after="160"/>
            </w:pPr>
            <w:r>
              <w:rPr>
                <w:rStyle w:val="row-content-rich-text"/>
                <w:b/>
              </w:rPr>
              <w:t xml:space="preserve">Table A: 10th Edition ACHI codes for forceps-assisted delivery</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ce179a1cbd471b">
              <w:r>
                <w:rPr>
                  <w:rStyle w:val="Hyperlink"/>
                </w:rPr>
                <w:t xml:space="preserve">Episode of admitted patient care—procedure, code (ACHI 10th edn) NNNNN-NN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5334cb8c045e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df3c0b7d9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4cb8c045e4718" /><Relationship Type="http://schemas.openxmlformats.org/officeDocument/2006/relationships/header" Target="/word/header1.xml" Id="R1ba8d5799a5d4519" /><Relationship Type="http://schemas.openxmlformats.org/officeDocument/2006/relationships/settings" Target="/word/settings.xml" Id="R1a9050f1ed7f4b90" /><Relationship Type="http://schemas.openxmlformats.org/officeDocument/2006/relationships/styles" Target="/word/styles.xml" Id="Ra23a2c69159a4d4e" /><Relationship Type="http://schemas.openxmlformats.org/officeDocument/2006/relationships/hyperlink" Target="https://meteor-uat.aihw.gov.au/RegistrationAuthority/2" TargetMode="External" Id="Rc1ee38570e3c42b7" /><Relationship Type="http://schemas.openxmlformats.org/officeDocument/2006/relationships/hyperlink" Target="https://meteor-uat.aihw.gov.au/content/728215" TargetMode="External" Id="R810d8e3009c14206" /><Relationship Type="http://schemas.openxmlformats.org/officeDocument/2006/relationships/hyperlink" Target="https://meteor-uat.aihw.gov.au/RegistrationAuthority/2" TargetMode="External" Id="R0ffb11bf870a4397" /><Relationship Type="http://schemas.openxmlformats.org/officeDocument/2006/relationships/hyperlink" Target="https://meteor-uat.aihw.gov.au/content/641379" TargetMode="External" Id="Rd2fdb721f9b84ff4" /><Relationship Type="http://schemas.openxmlformats.org/officeDocument/2006/relationships/hyperlink" Target="https://meteor-uat.aihw.gov.au/content/641379" TargetMode="External" Id="Rc6ce179a1cbd471b" /></Relationships>
</file>

<file path=word/_rels/header1.xml.rels>&#65279;<?xml version="1.0" encoding="utf-8"?><Relationships xmlns="http://schemas.openxmlformats.org/package/2006/relationships"><Relationship Type="http://schemas.openxmlformats.org/officeDocument/2006/relationships/image" Target="/media/image.png" Id="R631df3c0b7d94ae1" /></Relationships>
</file>