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681dd095804b7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2.2.3–Sentinel events,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2.2.3–Sentinel events,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2.2.3–Sentinel events,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62a4adf8d481b">
              <w:r>
                <w:rPr>
                  <w:rStyle w:val="Hyperlink"/>
                  <w:color w:val="244061"/>
                </w:rPr>
                <w:t xml:space="preserve">Health!</w:t>
              </w:r>
            </w:hyperlink>
            <w:r>
              <w:rPr>
                <w:rStyle w:val="row-content"/>
                <w:color w:val="244061"/>
              </w:rPr>
              <w:t xml:space="preserve">, Qualified 16/02/2022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 sentinel event is a particular type of serious incident that is wholly preventable and has caused serious harm to, or the death of, a patient.&#10;To be classified a sentinel event, a strict set of criteria need to be met:&#10;The event should not have occ..." w:history="true" r:id="R4c25ecc098624f44">
              <w:r>
                <w:rPr>
                  <w:rStyle w:val="Hyperlink"/>
                  <w:b/>
                </w:rPr>
                <w:t xml:space="preserve">sentinel event</w:t>
              </w:r>
            </w:hyperlink>
            <w:r>
              <w:rPr>
                <w:rStyle w:val="row-content-rich-text"/>
              </w:rPr>
              <w:t xml:space="preserve"> is a particular type of serious incident that is </w:t>
            </w:r>
            <w:r>
              <w:rPr>
                <w:rStyle w:val="row-content-rich-text"/>
                <w:b/>
              </w:rPr>
              <w:t xml:space="preserve">wholly preventable </w:t>
            </w:r>
            <w:r>
              <w:rPr>
                <w:rStyle w:val="row-content-rich-text"/>
              </w:rPr>
              <w:t xml:space="preserve">and has caused </w:t>
            </w:r>
            <w:r>
              <w:rPr>
                <w:rStyle w:val="row-content-rich-text"/>
                <w:b/>
              </w:rPr>
              <w:t xml:space="preserve">serious harm</w:t>
            </w:r>
            <w:r>
              <w:rPr>
                <w:rStyle w:val="row-content-rich-text"/>
              </w:rPr>
              <w:t xml:space="preserve"> to, or the </w:t>
            </w:r>
            <w:r>
              <w:rPr>
                <w:rStyle w:val="row-content-rich-text"/>
                <w:b/>
              </w:rPr>
              <w:t xml:space="preserve">death</w:t>
            </w:r>
            <w:r>
              <w:rPr>
                <w:rStyle w:val="row-content-rich-text"/>
              </w:rPr>
              <w:t xml:space="preserve"> of, a patient.</w:t>
            </w:r>
          </w:p>
          <w:p>
            <w:pPr>
              <w:spacing w:after="160"/>
            </w:pPr>
            <w:r>
              <w:rPr>
                <w:rStyle w:val="row-content-rich-text"/>
              </w:rPr>
              <w:t xml:space="preserve">To be classified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p>
            <w:pPr>
              <w:spacing w:after="160"/>
            </w:pPr>
            <w:r>
              <w:rPr>
                <w:rStyle w:val="row-content-rich-text"/>
              </w:rPr>
              <w:t xml:space="preserve">Sentinel events are further specified into eight events:</w:t>
            </w:r>
          </w:p>
          <w:p>
            <w:pPr>
              <w:pStyle w:val="ListParagraph"/>
              <w:numPr>
                <w:ilvl w:val="0"/>
                <w:numId w:val="3"/>
              </w:numPr>
            </w:pPr>
            <w:r>
              <w:rPr>
                <w:rStyle w:val="row-content-rich-text"/>
              </w:rPr>
              <w:t xml:space="preserve">Haemolytic blood transfusion reaction resulting from ABO (blood group) incompatibility</w:t>
            </w:r>
          </w:p>
          <w:p>
            <w:pPr>
              <w:pStyle w:val="ListParagraph"/>
              <w:numPr>
                <w:ilvl w:val="0"/>
                <w:numId w:val="3"/>
              </w:numPr>
            </w:pPr>
            <w:r>
              <w:rPr>
                <w:rStyle w:val="row-content-rich-text"/>
              </w:rPr>
              <w:t xml:space="preserve">Infant discharge to the wrong family</w:t>
            </w:r>
          </w:p>
          <w:p>
            <w:pPr>
              <w:pStyle w:val="ListParagraph"/>
              <w:numPr>
                <w:ilvl w:val="0"/>
                <w:numId w:val="3"/>
              </w:numPr>
            </w:pPr>
            <w:r>
              <w:rPr>
                <w:rStyle w:val="row-content-rich-text"/>
              </w:rPr>
              <w:t xml:space="preserve">Intravascular gas embolism resulting in death or neurological damage</w:t>
            </w:r>
          </w:p>
          <w:p>
            <w:pPr>
              <w:pStyle w:val="ListParagraph"/>
              <w:numPr>
                <w:ilvl w:val="0"/>
                <w:numId w:val="3"/>
              </w:numPr>
            </w:pPr>
            <w:r>
              <w:rPr>
                <w:rStyle w:val="row-content-rich-text"/>
              </w:rPr>
              <w:t xml:space="preserve">Maternal death associated with pregnancy, birth or the puerperium</w:t>
            </w:r>
          </w:p>
          <w:p>
            <w:pPr>
              <w:pStyle w:val="ListParagraph"/>
              <w:numPr>
                <w:ilvl w:val="0"/>
                <w:numId w:val="3"/>
              </w:numPr>
            </w:pPr>
            <w:r>
              <w:rPr>
                <w:rStyle w:val="row-content-rich-text"/>
              </w:rPr>
              <w:t xml:space="preserve">Medication error leading to the death of a patient reasonably believed to be due to incorrect administration of drugs</w:t>
            </w:r>
          </w:p>
          <w:p>
            <w:pPr>
              <w:pStyle w:val="ListParagraph"/>
              <w:numPr>
                <w:ilvl w:val="0"/>
                <w:numId w:val="3"/>
              </w:numPr>
            </w:pPr>
            <w:r>
              <w:rPr>
                <w:rStyle w:val="row-content-rich-text"/>
              </w:rPr>
              <w:t xml:space="preserve">Procedures involving the wrong patient or body part resulting in death or major permanent loss of function</w:t>
            </w:r>
          </w:p>
          <w:p>
            <w:pPr>
              <w:pStyle w:val="ListParagraph"/>
              <w:numPr>
                <w:ilvl w:val="0"/>
                <w:numId w:val="3"/>
              </w:numPr>
            </w:pPr>
            <w:r>
              <w:rPr>
                <w:rStyle w:val="row-content-rich-text"/>
              </w:rPr>
              <w:t xml:space="preserve">Retained instruments or other material after surgery requiring re-operation or further surgical procedure</w:t>
            </w:r>
          </w:p>
          <w:p>
            <w:pPr>
              <w:pStyle w:val="ListParagraph"/>
              <w:numPr>
                <w:ilvl w:val="0"/>
                <w:numId w:val="3"/>
              </w:numPr>
            </w:pPr>
            <w:r>
              <w:rPr>
                <w:rStyle w:val="row-content-rich-text"/>
              </w:rPr>
              <w:t xml:space="preserve">Suicide of a patient in an inpatient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events have the potential to seriously undermine public confidence in the healthcare system and are a subset of the most serious incidents reported through each jurisdiction’s incident reporting system. The intent is not to measure episodes that do not end in death or ongoing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bfb85e09b647e6">
              <w:r>
                <w:rPr>
                  <w:rStyle w:val="Hyperlink"/>
                </w:rPr>
                <w:t xml:space="preserve">Australian Health Performance Framework, 2020</w:t>
              </w:r>
            </w:hyperlink>
          </w:p>
          <w:p>
            <w:pPr>
              <w:pStyle w:val="registration-status"/>
              <w:spacing w:before="0" w:after="0"/>
            </w:pPr>
            <w:hyperlink w:history="true" r:id="R7098b6893bf849fe">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sentinel events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sentinel event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61529eeed443ea">
              <w:r>
                <w:rPr>
                  <w:rStyle w:val="Hyperlink"/>
                </w:rPr>
                <w:t xml:space="preserve">Episode of admitted patient care—admission date, DDMMYYYY</w:t>
              </w:r>
            </w:hyperlink>
          </w:p>
          <w:p>
            <w:r>
              <w:rPr>
                <w:rStyle w:val="row-content"/>
                <w:b/>
              </w:rPr>
              <w:t xml:space="preserve">Data Source</w:t>
            </w:r>
          </w:p>
          <w:p>
            <w:hyperlink w:history="true" r:id="R7959f7fb50104074">
              <w:r>
                <w:rPr>
                  <w:rStyle w:val="Hyperlink"/>
                </w:rPr>
                <w:t xml:space="preserve">National Hospital Morbidity Database (NHMD)</w:t>
              </w:r>
            </w:hyperlink>
          </w:p>
          <w:p>
            <w:r>
              <w:rPr>
                <w:rStyle w:val="row-content"/>
                <w:b/>
              </w:rPr>
              <w:t xml:space="preserve">NMDS / DSS</w:t>
            </w:r>
          </w:p>
          <w:p>
            <w:hyperlink w:history="true" r:id="Rcef80f9daa9e4e99">
              <w:r>
                <w:rPr>
                  <w:rStyle w:val="Hyperlink"/>
                </w:rPr>
                <w:t xml:space="preserve">Admitted patient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c31abd921d1a47ee">
              <w:r>
                <w:rPr>
                  <w:rStyle w:val="Hyperlink"/>
                </w:rPr>
                <w:t xml:space="preserve">Episode of admitted patient care—separation date, DDMMYYYY</w:t>
              </w:r>
            </w:hyperlink>
          </w:p>
          <w:p>
            <w:r>
              <w:rPr>
                <w:rStyle w:val="row-content"/>
                <w:b/>
              </w:rPr>
              <w:t xml:space="preserve">Data Source</w:t>
            </w:r>
          </w:p>
          <w:p>
            <w:hyperlink w:history="true" r:id="R35d88d9327be48e3">
              <w:r>
                <w:rPr>
                  <w:rStyle w:val="Hyperlink"/>
                </w:rPr>
                <w:t xml:space="preserve">National Hospital Morbidity Database (NHMD)</w:t>
              </w:r>
            </w:hyperlink>
          </w:p>
          <w:p>
            <w:r>
              <w:rPr>
                <w:rStyle w:val="row-content"/>
                <w:b/>
              </w:rPr>
              <w:t xml:space="preserve">NMDS / DSS</w:t>
            </w:r>
          </w:p>
          <w:p>
            <w:hyperlink w:history="true" r:id="R1d114a5d813e442a">
              <w:r>
                <w:rPr>
                  <w:rStyle w:val="Hyperlink"/>
                </w:rPr>
                <w:t xml:space="preserve">Admitted patient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cf2aec2425344ebf">
              <w:r>
                <w:rPr>
                  <w:rStyle w:val="Hyperlink"/>
                </w:rPr>
                <w:t xml:space="preserve">Person—person identifier, XXXXXX[X(14)]</w:t>
              </w:r>
            </w:hyperlink>
          </w:p>
          <w:p>
            <w:r>
              <w:rPr>
                <w:rStyle w:val="row-content"/>
                <w:b/>
              </w:rPr>
              <w:t xml:space="preserve">Data Source</w:t>
            </w:r>
          </w:p>
          <w:p>
            <w:hyperlink w:history="true" r:id="Racc51f2587794c23">
              <w:r>
                <w:rPr>
                  <w:rStyle w:val="Hyperlink"/>
                </w:rPr>
                <w:t xml:space="preserve">National Hospital Morbidity Database (NHMD)</w:t>
              </w:r>
            </w:hyperlink>
          </w:p>
          <w:p>
            <w:r>
              <w:rPr>
                <w:rStyle w:val="row-content"/>
                <w:b/>
              </w:rPr>
              <w:t xml:space="preserve">NMDS / DSS</w:t>
            </w:r>
          </w:p>
          <w:p>
            <w:hyperlink w:history="true" r:id="R3c69f2cbcee9478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961becad24f4fb4">
              <w:r>
                <w:rPr>
                  <w:rStyle w:val="Hyperlink"/>
                </w:rPr>
                <w:t xml:space="preserve">Episode of admitted patient care—condition onset flag, code N</w:t>
              </w:r>
            </w:hyperlink>
          </w:p>
          <w:p>
            <w:r>
              <w:rPr>
                <w:rStyle w:val="row-content"/>
                <w:b/>
              </w:rPr>
              <w:t xml:space="preserve">Data Source</w:t>
            </w:r>
          </w:p>
          <w:p>
            <w:hyperlink w:history="true" r:id="R18b2a418ac7a4d7b">
              <w:r>
                <w:rPr>
                  <w:rStyle w:val="Hyperlink"/>
                </w:rPr>
                <w:t xml:space="preserve">National Hospital Morbidity Database (NHMD)</w:t>
              </w:r>
            </w:hyperlink>
          </w:p>
          <w:p>
            <w:r>
              <w:rPr>
                <w:rStyle w:val="row-content"/>
                <w:b/>
              </w:rPr>
              <w:t xml:space="preserve">NMDS / DSS</w:t>
            </w:r>
          </w:p>
          <w:p>
            <w:hyperlink w:history="true" r:id="Rdd6d3dd927d4403d">
              <w:r>
                <w:rPr>
                  <w:rStyle w:val="Hyperlink"/>
                </w:rPr>
                <w:t xml:space="preserve">Admitted patient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f6dc9c6f92b0466e">
              <w:r>
                <w:rPr>
                  <w:rStyle w:val="Hyperlink"/>
                </w:rPr>
                <w:t xml:space="preserve">Episode of care—principal diagnosis, code (ICD-10-AM 10th edn) ANN{.N[N]}</w:t>
              </w:r>
            </w:hyperlink>
          </w:p>
          <w:p>
            <w:r>
              <w:rPr>
                <w:rStyle w:val="row-content"/>
                <w:b/>
              </w:rPr>
              <w:t xml:space="preserve">Data Source</w:t>
            </w:r>
          </w:p>
          <w:p>
            <w:hyperlink w:history="true" r:id="R8683068fc1684a07">
              <w:r>
                <w:rPr>
                  <w:rStyle w:val="Hyperlink"/>
                </w:rPr>
                <w:t xml:space="preserve">National Hospital Morbidity Database (NHMD)</w:t>
              </w:r>
            </w:hyperlink>
          </w:p>
          <w:p>
            <w:r>
              <w:rPr>
                <w:rStyle w:val="row-content"/>
                <w:b/>
              </w:rPr>
              <w:t xml:space="preserve">NMDS / DSS</w:t>
            </w:r>
          </w:p>
          <w:p>
            <w:hyperlink w:history="true" r:id="R23df75d28e0b476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1a28c92b77274b5f">
              <w:r>
                <w:rPr>
                  <w:rStyle w:val="Hyperlink"/>
                </w:rPr>
                <w:t xml:space="preserve">Episode of care—additional diagnosis, code (ICD-10-AM 10th edn) ANN{.N[N]}</w:t>
              </w:r>
            </w:hyperlink>
          </w:p>
          <w:p>
            <w:r>
              <w:rPr>
                <w:rStyle w:val="row-content"/>
                <w:b/>
              </w:rPr>
              <w:t xml:space="preserve">Data Source</w:t>
            </w:r>
          </w:p>
          <w:p>
            <w:hyperlink w:history="true" r:id="R9115aaabde684d91">
              <w:r>
                <w:rPr>
                  <w:rStyle w:val="Hyperlink"/>
                </w:rPr>
                <w:t xml:space="preserve">National Hospital Morbidity Database (NHMD)</w:t>
              </w:r>
            </w:hyperlink>
          </w:p>
          <w:p>
            <w:r>
              <w:rPr>
                <w:rStyle w:val="row-content"/>
                <w:b/>
              </w:rPr>
              <w:t xml:space="preserve">NMDS / DSS</w:t>
            </w:r>
          </w:p>
          <w:p>
            <w:hyperlink w:history="true" r:id="R96141ef12246496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426d8dfde2147b3">
              <w:r>
                <w:rPr>
                  <w:rStyle w:val="Hyperlink"/>
                </w:rPr>
                <w:t xml:space="preserve">Injury event—place of occurrence, code (ICD-10-AM 10th edn) ANN{.N[N]}</w:t>
              </w:r>
            </w:hyperlink>
          </w:p>
          <w:p>
            <w:r>
              <w:rPr>
                <w:rStyle w:val="row-content"/>
                <w:b/>
              </w:rPr>
              <w:t xml:space="preserve">Data Source</w:t>
            </w:r>
          </w:p>
          <w:p>
            <w:hyperlink w:history="true" r:id="Rcc71c4bd57f946fb">
              <w:r>
                <w:rPr>
                  <w:rStyle w:val="Hyperlink"/>
                </w:rPr>
                <w:t xml:space="preserve">National Hospital Morbidity Database (NHMD)</w:t>
              </w:r>
            </w:hyperlink>
          </w:p>
          <w:p>
            <w:r>
              <w:rPr>
                <w:rStyle w:val="row-content"/>
                <w:b/>
              </w:rPr>
              <w:t xml:space="preserve">NMDS / DSS</w:t>
            </w:r>
          </w:p>
          <w:p>
            <w:hyperlink w:history="true" r:id="Ra1eb5dca967548ac">
              <w:r>
                <w:rPr>
                  <w:rStyle w:val="Hyperlink"/>
                </w:rPr>
                <w:t xml:space="preserve">Admitted patient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reporting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1. Sentinel events definitions can vary across jurisdictions.</w:t>
            </w:r>
            <w:r>
              <w:br/>
            </w:r>
            <w:r>
              <w:rPr>
                <w:rStyle w:val="row-content-rich-text"/>
              </w:rPr>
              <w:t xml:space="preserve">2. NSW data for reporting periods prior to 2016-17 include events that occurred in private hospitals and day procedure centres and are therefore not comparable with data for 2016-17.</w:t>
            </w:r>
            <w:r>
              <w:br/>
            </w:r>
            <w:r>
              <w:rPr>
                <w:rStyle w:val="row-content-rich-text"/>
              </w:rPr>
              <w:t xml:space="preserve">3. NSW data are sourced from the NSW Maternal and Perinatal Mortality Review Committee. Data for all prior years included in the table have been updated to reflect the modified definition‚ and are not comparable to results published in the 2014 Report and prior versions.</w:t>
            </w:r>
            <w:r>
              <w:br/>
            </w:r>
            <w:r>
              <w:rPr>
                <w:rStyle w:val="row-content-rich-text"/>
              </w:rPr>
              <w:t xml:space="preserve">4. Victoria has supplied data using the sentinel event definition applicable to the data collection period. Most other jurisdictions have retrospectively applied the amended definition.</w:t>
            </w:r>
            <w:r>
              <w:br/>
            </w:r>
            <w:r>
              <w:rPr>
                <w:rStyle w:val="row-content-rich-text"/>
              </w:rPr>
              <w:t xml:space="preserve">5. WA has supplied data using the sentinel event definition applicable to the data collection period. Most other jurisdictions have retrospectively applied the amended definition.</w:t>
            </w:r>
            <w:r>
              <w:br/>
            </w:r>
            <w:r>
              <w:rPr>
                <w:rStyle w:val="row-content-rich-text"/>
              </w:rPr>
              <w:t xml:space="preserve">6. The NT has supplied data using the sentinel event definition applicable to the data collection period. Most other jurisdictions have retrospectively applied the amended definition.</w:t>
            </w:r>
            <w:r>
              <w:br/>
            </w:r>
            <w:r>
              <w:rPr>
                <w:rStyle w:val="row-content-rich-text"/>
              </w:rPr>
              <w:t xml:space="preserve">7. The total includes sentinel events for the ACT which are not reported in the 8 sub categories of sentinel events due to confidentiality issues.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cdc44045084d1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2020. </w:t>
            </w:r>
            <w:hyperlink w:history="true" r:id="R79515176c06f417e">
              <w:r>
                <w:rPr>
                  <w:rStyle w:val="Hyperlink"/>
                </w:rPr>
                <w:t xml:space="preserve">Australian Sentinel Events List (version 2) Specifications | Australian Commission on Safety and Quality in Health Care</w:t>
              </w:r>
            </w:hyperlink>
            <w:r>
              <w:rPr>
                <w:rStyle w:val="row-content-rich-text"/>
              </w:rPr>
              <w:t xml:space="preserve">, viewed April 2021.</w:t>
            </w:r>
          </w:p>
        </w:tc>
      </w:tr>
    </w:tbl>
    <w:p>
      <w:r>
        <w:br/>
      </w:r>
    </w:p>
    <w:sectPr>
      <w:footerReference xmlns:r="http://schemas.openxmlformats.org/officeDocument/2006/relationships" w:type="default" r:id="Rc82d625db7d2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c297e750b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d625db7d24983" /><Relationship Type="http://schemas.openxmlformats.org/officeDocument/2006/relationships/header" Target="/word/header1.xml" Id="R968ddebbe7db43d2" /><Relationship Type="http://schemas.openxmlformats.org/officeDocument/2006/relationships/settings" Target="/word/settings.xml" Id="R43fdcb4e22d14301" /><Relationship Type="http://schemas.openxmlformats.org/officeDocument/2006/relationships/styles" Target="/word/styles.xml" Id="Rcb663d40ff5a4809" /><Relationship Type="http://schemas.openxmlformats.org/officeDocument/2006/relationships/numbering" Target="/word/numbering.xml" Id="Rd61d2102187149e5" /><Relationship Type="http://schemas.openxmlformats.org/officeDocument/2006/relationships/hyperlink" Target="https://meteor-uat.aihw.gov.au/RegistrationAuthority/14" TargetMode="External" Id="Rbe662a4adf8d481b" /><Relationship Type="http://schemas.openxmlformats.org/officeDocument/2006/relationships/hyperlink" Target="https://meteor-uat.aihw.gov.au/content/754857" TargetMode="External" Id="R4c25ecc098624f44" /><Relationship Type="http://schemas.openxmlformats.org/officeDocument/2006/relationships/hyperlink" Target="https://meteor-uat.aihw.gov.au/content/728283" TargetMode="External" Id="R6dbfb85e09b647e6" /><Relationship Type="http://schemas.openxmlformats.org/officeDocument/2006/relationships/hyperlink" Target="https://meteor-uat.aihw.gov.au/RegistrationAuthority/14" TargetMode="External" Id="R7098b6893bf849fe" /><Relationship Type="http://schemas.openxmlformats.org/officeDocument/2006/relationships/hyperlink" Target="https://meteor-uat.aihw.gov.au/content/269967" TargetMode="External" Id="R5261529eeed443ea" /><Relationship Type="http://schemas.openxmlformats.org/officeDocument/2006/relationships/hyperlink" Target="https://meteor-uat.aihw.gov.au/content/394352" TargetMode="External" Id="R7959f7fb50104074" /><Relationship Type="http://schemas.openxmlformats.org/officeDocument/2006/relationships/hyperlink" Target="https://meteor-uat.aihw.gov.au/content/682938" TargetMode="External" Id="Rcef80f9daa9e4e99" /><Relationship Type="http://schemas.openxmlformats.org/officeDocument/2006/relationships/hyperlink" Target="https://meteor-uat.aihw.gov.au/content/270025" TargetMode="External" Id="Rc31abd921d1a47ee" /><Relationship Type="http://schemas.openxmlformats.org/officeDocument/2006/relationships/hyperlink" Target="https://meteor-uat.aihw.gov.au/content/394352" TargetMode="External" Id="R35d88d9327be48e3" /><Relationship Type="http://schemas.openxmlformats.org/officeDocument/2006/relationships/hyperlink" Target="https://meteor-uat.aihw.gov.au/content/682938" TargetMode="External" Id="R1d114a5d813e442a" /><Relationship Type="http://schemas.openxmlformats.org/officeDocument/2006/relationships/hyperlink" Target="https://meteor-uat.aihw.gov.au/content/290046" TargetMode="External" Id="Rcf2aec2425344ebf" /><Relationship Type="http://schemas.openxmlformats.org/officeDocument/2006/relationships/hyperlink" Target="https://meteor-uat.aihw.gov.au/content/394352" TargetMode="External" Id="Racc51f2587794c23" /><Relationship Type="http://schemas.openxmlformats.org/officeDocument/2006/relationships/hyperlink" Target="https://meteor-uat.aihw.gov.au/content/641349" TargetMode="External" Id="R3c69f2cbcee9478c" /><Relationship Type="http://schemas.openxmlformats.org/officeDocument/2006/relationships/hyperlink" Target="https://meteor-uat.aihw.gov.au/content/354816" TargetMode="External" Id="R0961becad24f4fb4" /><Relationship Type="http://schemas.openxmlformats.org/officeDocument/2006/relationships/hyperlink" Target="https://meteor-uat.aihw.gov.au/content/394352" TargetMode="External" Id="R18b2a418ac7a4d7b" /><Relationship Type="http://schemas.openxmlformats.org/officeDocument/2006/relationships/hyperlink" Target="https://meteor-uat.aihw.gov.au/content/682938" TargetMode="External" Id="Rdd6d3dd927d4403d" /><Relationship Type="http://schemas.openxmlformats.org/officeDocument/2006/relationships/hyperlink" Target="https://meteor-uat.aihw.gov.au/content/640978" TargetMode="External" Id="Rf6dc9c6f92b0466e" /><Relationship Type="http://schemas.openxmlformats.org/officeDocument/2006/relationships/hyperlink" Target="https://meteor-uat.aihw.gov.au/content/394352" TargetMode="External" Id="R8683068fc1684a07" /><Relationship Type="http://schemas.openxmlformats.org/officeDocument/2006/relationships/hyperlink" Target="https://meteor-uat.aihw.gov.au/content/641349" TargetMode="External" Id="R23df75d28e0b4762" /><Relationship Type="http://schemas.openxmlformats.org/officeDocument/2006/relationships/hyperlink" Target="https://meteor-uat.aihw.gov.au/content/641014" TargetMode="External" Id="R1a28c92b77274b5f" /><Relationship Type="http://schemas.openxmlformats.org/officeDocument/2006/relationships/hyperlink" Target="https://meteor-uat.aihw.gov.au/content/394352" TargetMode="External" Id="R9115aaabde684d91" /><Relationship Type="http://schemas.openxmlformats.org/officeDocument/2006/relationships/hyperlink" Target="https://meteor-uat.aihw.gov.au/content/641349" TargetMode="External" Id="R96141ef122464962" /><Relationship Type="http://schemas.openxmlformats.org/officeDocument/2006/relationships/hyperlink" Target="https://meteor-uat.aihw.gov.au/content/641422" TargetMode="External" Id="R0426d8dfde2147b3" /><Relationship Type="http://schemas.openxmlformats.org/officeDocument/2006/relationships/hyperlink" Target="https://meteor-uat.aihw.gov.au/content/394352" TargetMode="External" Id="Rcc71c4bd57f946fb" /><Relationship Type="http://schemas.openxmlformats.org/officeDocument/2006/relationships/hyperlink" Target="https://meteor-uat.aihw.gov.au/content/682938" TargetMode="External" Id="Ra1eb5dca967548ac" /><Relationship Type="http://schemas.openxmlformats.org/officeDocument/2006/relationships/hyperlink" Target="https://meteor-uat.aihw.gov.au/content/394352" TargetMode="External" Id="Ra4cdc44045084d1b" /><Relationship Type="http://schemas.openxmlformats.org/officeDocument/2006/relationships/hyperlink" Target="https://www.safetyandquality.gov.au/publications-and-resources/resource-library/australian-sentinel-events-list-version-2-specifications" TargetMode="External" Id="R79515176c06f417e" /></Relationships>
</file>

<file path=word/_rels/header1.xml.rels>&#65279;<?xml version="1.0" encoding="utf-8"?><Relationships xmlns="http://schemas.openxmlformats.org/package/2006/relationships"><Relationship Type="http://schemas.openxmlformats.org/officeDocument/2006/relationships/image" Target="/media/image.png" Id="Rd61c297e750b43ce" /></Relationships>
</file>