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53d3a1214d411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2.1.2–Females with an antenatal visit in the first trimester of pregnancy,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2.1.2–Females with an antenatal visit in the first trimester of pregnancy,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2.1.2–Females with an antenatal visit in the first trimester of pregnancy,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women who gave birth and had at least one antenatal visit in the first trimester; Pregnancies with an antenatal visit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8a63ef5d04e35">
              <w:r>
                <w:rPr>
                  <w:rStyle w:val="Hyperlink"/>
                  <w:color w:val="244061"/>
                </w:rPr>
                <w:t xml:space="preserve">Health!</w:t>
              </w:r>
            </w:hyperlink>
            <w:r>
              <w:rPr>
                <w:rStyle w:val="row-content"/>
                <w:color w:val="244061"/>
              </w:rPr>
              <w:t xml:space="preserve">, Standard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where an antenatal visit was reported in the first trimester, as a proportion of all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a312d953df45ca">
              <w:r>
                <w:rPr>
                  <w:rStyle w:val="Hyperlink"/>
                </w:rPr>
                <w:t xml:space="preserve">Australian Health Performance Framework, 2020</w:t>
              </w:r>
            </w:hyperlink>
          </w:p>
          <w:p>
            <w:pPr>
              <w:pStyle w:val="registration-status"/>
              <w:spacing w:before="0" w:after="0"/>
            </w:pPr>
            <w:hyperlink w:history="true" r:id="R394d4861bd6143ae">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Excludes women whose gestation at first antenatal visit was not stated.</w:t>
            </w:r>
          </w:p>
          <w:p>
            <w:pPr>
              <w:spacing w:after="160"/>
            </w:pPr>
            <w:r>
              <w:rPr>
                <w:rStyle w:val="row-content-rich-text"/>
              </w:rPr>
              <w:t xml:space="preserve">Analysis by state/territory, remoteness, Socio-Economic Indexes for Areas (SEIFA) Index of Relative Socio-Economic Disadvantage (IRSD) and Primary Health Network (PHN) is based on the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percentage: </w:t>
            </w:r>
            <w:r>
              <w:rPr>
                <w:rStyle w:val="row-content-rich-text"/>
              </w:rPr>
              <w:t xml:space="preserve">100 x (Numerator ÷ Denominator)</w:t>
            </w:r>
          </w:p>
          <w:p>
            <w:pPr/>
            <w:r>
              <w:rPr>
                <w:rStyle w:val="row-content-rich-text"/>
                <w:b/>
              </w:rPr>
              <w:t xml:space="preserve">Age-standardised percentage:</w:t>
            </w:r>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to at least 1 live or stillborn baby, where an antenatal visit was reported in the first trimester (up to and including 13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152ae6b168400c">
              <w:r>
                <w:rPr>
                  <w:rStyle w:val="Hyperlink"/>
                </w:rPr>
                <w:t xml:space="preserve">Pregnancy—estimated duration (at the first visit for antenatal care), completed weeks N[N]</w:t>
              </w:r>
            </w:hyperlink>
          </w:p>
          <w:p>
            <w:r>
              <w:rPr>
                <w:rStyle w:val="row-content"/>
                <w:b/>
              </w:rPr>
              <w:t xml:space="preserve">Data Source</w:t>
            </w:r>
          </w:p>
          <w:p>
            <w:hyperlink w:history="true" r:id="Rf207fc4f4f704390">
              <w:r>
                <w:rPr>
                  <w:rStyle w:val="Hyperlink"/>
                </w:rPr>
                <w:t xml:space="preserve">AIHW National Perinatal Data Collection (NPDC)</w:t>
              </w:r>
            </w:hyperlink>
          </w:p>
          <w:p>
            <w:r>
              <w:rPr>
                <w:rStyle w:val="row-content"/>
                <w:b/>
              </w:rPr>
              <w:t xml:space="preserve">NMDS / DSS</w:t>
            </w:r>
          </w:p>
          <w:p>
            <w:hyperlink w:history="true" r:id="Rbd4e6dc6c0194454">
              <w:r>
                <w:rPr>
                  <w:rStyle w:val="Hyperlink"/>
                </w:rPr>
                <w:t xml:space="preserve">Perinatal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to at least 1 live or stillborn baby (where gestation at first antenatal visit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5eef5566ff4c8a">
              <w:r>
                <w:rPr>
                  <w:rStyle w:val="Hyperlink"/>
                </w:rPr>
                <w:t xml:space="preserve">Pregnancy—estimated duration (at the first visit for antenatal care), completed weeks N[N]</w:t>
              </w:r>
            </w:hyperlink>
          </w:p>
          <w:p>
            <w:r>
              <w:rPr>
                <w:rStyle w:val="row-content"/>
                <w:b/>
              </w:rPr>
              <w:t xml:space="preserve">Data Source</w:t>
            </w:r>
          </w:p>
          <w:p>
            <w:hyperlink w:history="true" r:id="Rfe2b340bd5114680">
              <w:r>
                <w:rPr>
                  <w:rStyle w:val="Hyperlink"/>
                </w:rPr>
                <w:t xml:space="preserve">AIHW National Perinatal Data Collection (NPDC)</w:t>
              </w:r>
            </w:hyperlink>
          </w:p>
          <w:p>
            <w:r>
              <w:rPr>
                <w:rStyle w:val="row-content"/>
                <w:b/>
              </w:rPr>
              <w:t xml:space="preserve">NMDS / DSS</w:t>
            </w:r>
          </w:p>
          <w:p>
            <w:hyperlink w:history="true" r:id="Redde2115aab04689">
              <w:r>
                <w:rPr>
                  <w:rStyle w:val="Hyperlink"/>
                </w:rPr>
                <w:t xml:space="preserve">Perinatal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 —National and state/territory by:</w:t>
            </w:r>
          </w:p>
          <w:p>
            <w:pPr>
              <w:pStyle w:val="ListParagraph"/>
              <w:numPr>
                <w:ilvl w:val="0"/>
                <w:numId w:val="3"/>
              </w:numPr>
            </w:pPr>
            <w:r>
              <w:rPr>
                <w:rStyle w:val="row-content-rich-text"/>
              </w:rPr>
              <w:t xml:space="preserve">Indigenous status of the mother</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2018—Primary Health Network (PHN).</w:t>
            </w:r>
          </w:p>
          <w:p>
            <w:pPr>
              <w:spacing w:after="160"/>
            </w:pPr>
            <w:r>
              <w:rPr>
                <w:rStyle w:val="row-content-rich-text"/>
              </w:rPr>
              <w:t xml:space="preserve"> </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remoteness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Time series: 2012, 2013, 2014, 2015, 2016, 2017, and 2018—PHN.</w:t>
            </w:r>
          </w:p>
          <w:p>
            <w:pPr>
              <w:spacing w:after="160"/>
            </w:pPr>
            <w:r>
              <w:rPr>
                <w:rStyle w:val="row-content-rich-text"/>
              </w:rPr>
              <w:t xml:space="preserve">Note that data collection methods for Indigenous status of the mother and baby may vary between states and territories.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ffec55687041cc">
              <w:r>
                <w:rPr>
                  <w:rStyle w:val="Hyperlink"/>
                </w:rPr>
                <w:t xml:space="preserve">Person—Indigenous status, code N</w:t>
              </w:r>
            </w:hyperlink>
          </w:p>
          <w:p>
            <w:r>
              <w:rPr>
                <w:rStyle w:val="row-content"/>
                <w:b/>
              </w:rPr>
              <w:t xml:space="preserve">Data Source</w:t>
            </w:r>
          </w:p>
          <w:p>
            <w:hyperlink w:history="true" r:id="R437e766895fe4a13">
              <w:r>
                <w:rPr>
                  <w:rStyle w:val="Hyperlink"/>
                </w:rPr>
                <w:t xml:space="preserve">AIHW National Perinatal Data Collection (NPDC)</w:t>
              </w:r>
            </w:hyperlink>
          </w:p>
          <w:p>
            <w:r>
              <w:rPr>
                <w:rStyle w:val="row-content"/>
                <w:b/>
              </w:rPr>
              <w:t xml:space="preserve">NMDS / DSS</w:t>
            </w:r>
          </w:p>
          <w:p>
            <w:hyperlink w:history="true" r:id="R8c1210e2a8b44ca3">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e3e31e9fd8482d">
              <w:r>
                <w:rPr>
                  <w:rStyle w:val="Hyperlink"/>
                </w:rPr>
                <w:t xml:space="preserve">Person—area of usual residence, statistical area level 2 (SA2) code (ASGS 2016) N(9)</w:t>
              </w:r>
            </w:hyperlink>
          </w:p>
          <w:p>
            <w:r>
              <w:rPr>
                <w:rStyle w:val="row-content"/>
                <w:b/>
              </w:rPr>
              <w:t xml:space="preserve">Data Source</w:t>
            </w:r>
          </w:p>
          <w:p>
            <w:hyperlink w:history="true" r:id="R15a9d5ff60f349f9">
              <w:r>
                <w:rPr>
                  <w:rStyle w:val="Hyperlink"/>
                </w:rPr>
                <w:t xml:space="preserve">AIHW National Perinatal Data Collection (NPDC)</w:t>
              </w:r>
            </w:hyperlink>
          </w:p>
          <w:p>
            <w:r>
              <w:rPr>
                <w:rStyle w:val="row-content"/>
                <w:b/>
              </w:rPr>
              <w:t xml:space="preserve">NMDS / DSS</w:t>
            </w:r>
          </w:p>
          <w:p>
            <w:hyperlink w:history="true" r:id="Raba707ed3d6647b6">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SEIFA IRSD and PHN.</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Remoteness is based on the ASGS 2011 Remoteness Structure from 2012 to 2016 and the ASGS 2016 Remoteness Structure from 2017.</w:t>
            </w:r>
          </w:p>
          <w:p>
            <w:r>
              <w:rPr>
                <w:rStyle w:val="row-content"/>
              </w:rPr>
              <w:t xml:space="preserve">SEIFA IRSD is based on the 2011 SEIFA IRSD from 2012 to 2016 and the 2016 SEIFA IRSD from 2017.</w:t>
            </w:r>
          </w:p>
          <w:p>
            <w:r>
              <w:rPr>
                <w:rStyle w:val="row-content"/>
              </w:rPr>
              <w:t xml:space="preserve">PHN is based on the ASGS 2011 from 2012 to 2016 and the ASGS 2016 from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 (calendar year data).</w:t>
            </w:r>
          </w:p>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p>
            <w:pPr>
              <w:spacing w:after="160"/>
            </w:pPr>
            <w:r>
              <w:rPr>
                <w:rStyle w:val="row-content-rich-text"/>
              </w:rPr>
              <w:t xml:space="preserve">Antenatal visits relate to care provided by skilled birth attendants for reasons related to pregnancy. For the Australian Capital Territory, first antenatal visit is often the first hospital antenatal clinic visit. In many cases earlier antenatal care provided by the woman’s GP is not reported.</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 </w:t>
            </w:r>
            <w:r>
              <w:rPr>
                <w:rStyle w:val="row-content-rich-text"/>
              </w:rPr>
              <w:t xml:space="preserve">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pStyle w:val="ListParagraph"/>
              <w:numPr>
                <w:ilvl w:val="0"/>
                <w:numId w:val="5"/>
              </w:numPr>
            </w:pPr>
            <w:r>
              <w:rPr>
                <w:rStyle w:val="row-content-rich-text"/>
              </w:rPr>
              <w:t xml:space="preserve">the age-standardised rates and rate ratios lie largely outside the range of the age-specific rates and rate ratios</w:t>
            </w:r>
          </w:p>
          <w:p>
            <w:pPr>
              <w:pStyle w:val="ListParagraph"/>
              <w:numPr>
                <w:ilvl w:val="0"/>
                <w:numId w:val="5"/>
              </w:numPr>
            </w:pPr>
            <w:r>
              <w:rPr>
                <w:rStyle w:val="row-content-rich-text"/>
              </w:rPr>
              <w:t xml:space="preserve">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pStyle w:val="ListParagraph"/>
              <w:numPr>
                <w:ilvl w:val="0"/>
                <w:numId w:val="5"/>
              </w:numPr>
            </w:pPr>
            <w:r>
              <w:rPr>
                <w:rStyle w:val="row-content-rich-text"/>
              </w:rPr>
              <w:t xml:space="preserve">the age-specific rates depart from the assumption of a uniform increase in death with age (for example, injury which peaks in the young adult to middle-ages and certain cancers amenable to treatment for some age groups)</w:t>
            </w:r>
          </w:p>
          <w:p>
            <w:pPr>
              <w:pStyle w:val="ListParagraph"/>
              <w:numPr>
                <w:ilvl w:val="0"/>
                <w:numId w:val="5"/>
              </w:numPr>
            </w:pPr>
            <w:r>
              <w:rPr>
                <w:rStyle w:val="row-content-rich-text"/>
              </w:rPr>
              <w:t xml:space="preserve">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9b6442dea24d45">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f660d75b39432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331eb39dde46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42d3ebd4fa4e2d">
              <w:r>
                <w:rPr>
                  <w:rStyle w:val="Hyperlink"/>
                </w:rPr>
                <w:t xml:space="preserve">Australian Health Performance Framework: PI 2.1.2–Females with an antenatal visit in the first trimester of pregnancy, 2019</w:t>
              </w:r>
            </w:hyperlink>
          </w:p>
          <w:p>
            <w:pPr>
              <w:pStyle w:val="registration-status"/>
              <w:spacing w:before="0" w:after="0"/>
            </w:pPr>
            <w:hyperlink w:history="true" r:id="Rb52aabd8cc464e05">
              <w:r>
                <w:rPr>
                  <w:rStyle w:val="Hyperlink"/>
                  <w:color w:val="244061"/>
                </w:rPr>
                <w:t xml:space="preserve">Health!</w:t>
              </w:r>
            </w:hyperlink>
            <w:r>
              <w:rPr>
                <w:rStyle w:val="row-content"/>
                <w:color w:val="244061"/>
              </w:rPr>
              <w:t xml:space="preserve">, Standard 09/04/2020</w:t>
            </w:r>
          </w:p>
          <w:p>
            <w:r>
              <w:br/>
            </w:r>
          </w:p>
        </w:tc>
      </w:tr>
    </w:tbl>
    <w:p>
      <w:r>
        <w:br/>
      </w:r>
    </w:p>
    <w:sectPr>
      <w:footerReference xmlns:r="http://schemas.openxmlformats.org/officeDocument/2006/relationships" w:type="default" r:id="R7b832999276a47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66337b376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32999276a4722" /><Relationship Type="http://schemas.openxmlformats.org/officeDocument/2006/relationships/header" Target="/word/header1.xml" Id="Rad13bbcc49d346e5" /><Relationship Type="http://schemas.openxmlformats.org/officeDocument/2006/relationships/settings" Target="/word/settings.xml" Id="R4f316fa6a4aa40c7" /><Relationship Type="http://schemas.openxmlformats.org/officeDocument/2006/relationships/styles" Target="/word/styles.xml" Id="R6c7bbe841f594c76" /><Relationship Type="http://schemas.openxmlformats.org/officeDocument/2006/relationships/numbering" Target="/word/numbering.xml" Id="Rbdd461df165046a3" /><Relationship Type="http://schemas.openxmlformats.org/officeDocument/2006/relationships/hyperlink" Target="https://meteor-uat.aihw.gov.au/RegistrationAuthority/14" TargetMode="External" Id="R2b28a63ef5d04e35" /><Relationship Type="http://schemas.openxmlformats.org/officeDocument/2006/relationships/hyperlink" Target="https://meteor-uat.aihw.gov.au/content/728283" TargetMode="External" Id="R95a312d953df45ca" /><Relationship Type="http://schemas.openxmlformats.org/officeDocument/2006/relationships/hyperlink" Target="https://meteor-uat.aihw.gov.au/RegistrationAuthority/14" TargetMode="External" Id="R394d4861bd6143ae" /><Relationship Type="http://schemas.openxmlformats.org/officeDocument/2006/relationships/hyperlink" Target="https://meteor-uat.aihw.gov.au/content/673258" TargetMode="External" Id="R4a152ae6b168400c" /><Relationship Type="http://schemas.openxmlformats.org/officeDocument/2006/relationships/hyperlink" Target="https://meteor-uat.aihw.gov.au/content/392479" TargetMode="External" Id="Rf207fc4f4f704390" /><Relationship Type="http://schemas.openxmlformats.org/officeDocument/2006/relationships/hyperlink" Target="https://meteor-uat.aihw.gov.au/content/668811" TargetMode="External" Id="Rbd4e6dc6c0194454" /><Relationship Type="http://schemas.openxmlformats.org/officeDocument/2006/relationships/hyperlink" Target="https://meteor-uat.aihw.gov.au/content/673258" TargetMode="External" Id="Rf35eef5566ff4c8a" /><Relationship Type="http://schemas.openxmlformats.org/officeDocument/2006/relationships/hyperlink" Target="https://meteor-uat.aihw.gov.au/content/392479" TargetMode="External" Id="Rfe2b340bd5114680" /><Relationship Type="http://schemas.openxmlformats.org/officeDocument/2006/relationships/hyperlink" Target="https://meteor-uat.aihw.gov.au/content/668811" TargetMode="External" Id="Redde2115aab04689" /><Relationship Type="http://schemas.openxmlformats.org/officeDocument/2006/relationships/hyperlink" Target="https://meteor-uat.aihw.gov.au/content/602543" TargetMode="External" Id="R7dffec55687041cc" /><Relationship Type="http://schemas.openxmlformats.org/officeDocument/2006/relationships/hyperlink" Target="https://meteor-uat.aihw.gov.au/content/392479" TargetMode="External" Id="R437e766895fe4a13" /><Relationship Type="http://schemas.openxmlformats.org/officeDocument/2006/relationships/hyperlink" Target="https://meteor-uat.aihw.gov.au/content/668811" TargetMode="External" Id="R8c1210e2a8b44ca3" /><Relationship Type="http://schemas.openxmlformats.org/officeDocument/2006/relationships/hyperlink" Target="https://meteor-uat.aihw.gov.au/content/659725" TargetMode="External" Id="R53e3e31e9fd8482d" /><Relationship Type="http://schemas.openxmlformats.org/officeDocument/2006/relationships/hyperlink" Target="https://meteor-uat.aihw.gov.au/content/392479" TargetMode="External" Id="R15a9d5ff60f349f9" /><Relationship Type="http://schemas.openxmlformats.org/officeDocument/2006/relationships/hyperlink" Target="https://meteor-uat.aihw.gov.au/content/668811" TargetMode="External" Id="Raba707ed3d6647b6" /><Relationship Type="http://schemas.openxmlformats.org/officeDocument/2006/relationships/hyperlink" Target="https://meteor-uat.aihw.gov.au/content/721641" TargetMode="External" Id="Rb19b6442dea24d45" /><Relationship Type="http://schemas.openxmlformats.org/officeDocument/2006/relationships/hyperlink" Target="https://meteor-uat.aihw.gov.au/content/392479" TargetMode="External" Id="R0df660d75b394326" /><Relationship Type="http://schemas.openxmlformats.org/officeDocument/2006/relationships/hyperlink" Target="https://meteor-uat.aihw.gov.au/content/246013" TargetMode="External" Id="R99331eb39dde46de" /><Relationship Type="http://schemas.openxmlformats.org/officeDocument/2006/relationships/hyperlink" Target="https://meteor-uat.aihw.gov.au/content/715044" TargetMode="External" Id="R1042d3ebd4fa4e2d" /><Relationship Type="http://schemas.openxmlformats.org/officeDocument/2006/relationships/hyperlink" Target="https://meteor-uat.aihw.gov.au/RegistrationAuthority/14" TargetMode="External" Id="Rb52aabd8cc464e05" /></Relationships>
</file>

<file path=word/_rels/header1.xml.rels>&#65279;<?xml version="1.0" encoding="utf-8"?><Relationships xmlns="http://schemas.openxmlformats.org/package/2006/relationships"><Relationship Type="http://schemas.openxmlformats.org/officeDocument/2006/relationships/image" Target="/media/image.png" Id="Re2a66337b37649e9" /></Relationships>
</file>