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5d9b4cdf024295"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eb47a33f8548b2">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mental health care national minimum data set (CMHC NMDS) includes data about </w:t>
            </w:r>
            <w:hyperlink w:history="true" r:id="Re620c99d53f14293">
              <w:r>
                <w:rPr>
                  <w:rStyle w:val="Hyperlink"/>
                </w:rPr>
                <w:t xml:space="preserve">mental health service contacts</w:t>
              </w:r>
            </w:hyperlink>
            <w:r>
              <w:rPr>
                <w:rStyle w:val="row-content-rich-text"/>
              </w:rPr>
              <w:t xml:space="preserve"> provided by specialised mental health services for patients/clients in the community; that is patients/clients not admitted to admitted patient mental health care services or residential mental health care services.</w:t>
            </w:r>
          </w:p>
          <w:p>
            <w:pPr>
              <w:spacing w:after="160"/>
            </w:pPr>
            <w:r>
              <w:rPr>
                <w:rStyle w:val="row-content-rich-text"/>
              </w:rPr>
              <w:t xml:space="preserve">The scope includes</w:t>
            </w:r>
            <w:r>
              <w:rPr>
                <w:rStyle w:val="row-content-rich-text"/>
                <w:b/>
              </w:rPr>
              <w:t xml:space="preserve">:</w:t>
            </w:r>
          </w:p>
          <w:p>
            <w:pPr>
              <w:pStyle w:val="ListParagraph"/>
              <w:numPr>
                <w:ilvl w:val="0"/>
                <w:numId w:val="2"/>
              </w:numPr>
            </w:pPr>
            <w:r>
              <w:rPr>
                <w:rStyle w:val="row-content-rich-text"/>
              </w:rPr>
              <w:t xml:space="preserve">ambulatory mental health care provided by service units covering all target populations.</w:t>
            </w:r>
          </w:p>
          <w:p>
            <w:pPr>
              <w:spacing w:after="160"/>
            </w:pPr>
            <w:r>
              <w:rPr>
                <w:rStyle w:val="row-content-rich-text"/>
              </w:rPr>
              <w:t xml:space="preserve">The scope excludes</w:t>
            </w:r>
            <w:r>
              <w:rPr>
                <w:rStyle w:val="row-content-rich-text"/>
                <w:b/>
              </w:rPr>
              <w:t xml:space="preserve">:</w:t>
            </w:r>
          </w:p>
          <w:p>
            <w:pPr>
              <w:pStyle w:val="ListParagraph"/>
              <w:numPr>
                <w:ilvl w:val="0"/>
                <w:numId w:val="3"/>
              </w:numPr>
            </w:pPr>
            <w:r>
              <w:rPr>
                <w:rStyle w:val="row-content-rich-text"/>
              </w:rPr>
              <w:t xml:space="preserve">all care to admitted patients, including same day admitted patient care delivered by ambulatory mental health care service units</w:t>
            </w:r>
          </w:p>
          <w:p>
            <w:pPr>
              <w:pStyle w:val="ListParagraph"/>
              <w:numPr>
                <w:ilvl w:val="0"/>
                <w:numId w:val="3"/>
              </w:numPr>
            </w:pPr>
            <w:r>
              <w:rPr>
                <w:rStyle w:val="row-content-rich-text"/>
              </w:rPr>
              <w:t xml:space="preserve">'in-reach' mental health service contacts, that is, service contacts provided to patients admitted to admitted patient mental health care services or residential mental health services</w:t>
            </w:r>
          </w:p>
          <w:p>
            <w:pPr>
              <w:pStyle w:val="ListParagraph"/>
              <w:numPr>
                <w:ilvl w:val="0"/>
                <w:numId w:val="3"/>
              </w:numPr>
            </w:pPr>
            <w:r>
              <w:rPr>
                <w:rStyle w:val="row-content-rich-text"/>
              </w:rPr>
              <w:t xml:space="preserve">support services that are not specialised mental health care services (see </w:t>
            </w:r>
            <w:hyperlink w:history="true" r:id="R2edaad41c5aa4779">
              <w:r>
                <w:rPr>
                  <w:rStyle w:val="Hyperlink"/>
                </w:rPr>
                <w:t xml:space="preserve">Specialised mental health service</w:t>
              </w:r>
            </w:hyperlink>
            <w:r>
              <w:rPr>
                <w:rStyle w:val="row-content-rich-text"/>
              </w:rPr>
              <w:t xml:space="preserve">) and services provided by non-government organisations.</w:t>
            </w:r>
          </w:p>
          <w:p>
            <w:pPr>
              <w:spacing w:after="160"/>
            </w:pPr>
            <w:r>
              <w:rPr>
                <w:rStyle w:val="row-content-rich-text"/>
              </w:rPr>
              <w:t xml:space="preserve">Excluded from the CMHC NMDS scope is all activity reported to:</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Residential mental health care NMDS.</w:t>
            </w:r>
          </w:p>
          <w:p>
            <w:pPr>
              <w:spacing w:after="160"/>
            </w:pPr>
            <w:r>
              <w:rPr>
                <w:rStyle w:val="row-content-rich-text"/>
              </w:rPr>
              <w:t xml:space="preserve">The following metadata items are of particular relevance to the scope of the CMHC NMDS:</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70d07146dd5e412b">
              <w:r>
                <w:rPr>
                  <w:rStyle w:val="Hyperlink"/>
                  <w:b/>
                </w:rPr>
                <w:t xml:space="preserve">Ambulatory mental health care service</w:t>
              </w:r>
            </w:hyperlink>
          </w:p>
          <w:p>
            <w:hyperlink w:history="true" r:id="Rc0ae97d4a2344913">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87886cb1e224f25">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minimum data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321d2d4423cd4ad6">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2e5e05c040d94f85">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895d6f7f4c5a4d80">
              <w:r>
                <w:rPr>
                  <w:rStyle w:val="Hyperlink"/>
                  <w:b/>
                </w:rPr>
                <w:t xml:space="preserve">Ambulatory mental health care service</w:t>
              </w:r>
            </w:hyperlink>
          </w:p>
          <w:p>
            <w:hyperlink w:tooltip="A classification scheme that divides an area into mutually exclusive sub-areas based on geographic location." w:history="true" r:id="Rfb59145e1be64ba6">
              <w:r>
                <w:rPr>
                  <w:rStyle w:val="Hyperlink"/>
                  <w:b/>
                </w:rPr>
                <w:t xml:space="preserve">Geographic indicator</w:t>
              </w:r>
            </w:hyperlink>
          </w:p>
          <w:p>
            <w:hyperlink w:tooltip="A person who receives residential care intended to be for a minimum of one night." w:history="true" r:id="R2c38b2390f2642e1">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9c28a51bc0a4aee">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793ae639cdc4b3c">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c48daee9b14dc4">
              <w:r>
                <w:rPr>
                  <w:rStyle w:val="Hyperlink"/>
                </w:rPr>
                <w:t xml:space="preserve">Community mental health care NMDS 2020–21</w:t>
              </w:r>
            </w:hyperlink>
          </w:p>
          <w:p>
            <w:pPr>
              <w:pStyle w:val="registration-status"/>
              <w:spacing w:before="0" w:after="0"/>
            </w:pPr>
            <w:hyperlink w:history="true" r:id="Rb9d1dcef10174ac9">
              <w:r>
                <w:rPr>
                  <w:rStyle w:val="Hyperlink"/>
                  <w:color w:val="244061"/>
                </w:rPr>
                <w:t xml:space="preserve">Health!</w:t>
              </w:r>
            </w:hyperlink>
            <w:r>
              <w:rPr>
                <w:rStyle w:val="row-content"/>
                <w:color w:val="244061"/>
              </w:rPr>
              <w:t xml:space="preserve">, Superseded 20/01/2021</w:t>
            </w:r>
          </w:p>
          <w:p>
            <w:r>
              <w:br/>
            </w:r>
            <w:r>
              <w:rPr>
                <w:rStyle w:val="row-content"/>
              </w:rPr>
              <w:t xml:space="preserve">Has been superseded by </w:t>
            </w:r>
            <w:hyperlink w:history="true" r:id="Rbb2493bf77a64886">
              <w:r>
                <w:rPr>
                  <w:rStyle w:val="Hyperlink"/>
                </w:rPr>
                <w:t xml:space="preserve">Community mental health care NMDS 2022–23</w:t>
              </w:r>
            </w:hyperlink>
          </w:p>
          <w:p>
            <w:pPr>
              <w:pStyle w:val="registration-status"/>
              <w:spacing w:before="0" w:after="0"/>
            </w:pPr>
            <w:hyperlink w:history="true" r:id="Rd296d62b33344443">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342dd8448ef44119">
              <w:r>
                <w:rPr>
                  <w:rStyle w:val="Hyperlink"/>
                </w:rPr>
                <w:t xml:space="preserve">Activity based funding: Mental health care NBEDS 2021–22</w:t>
              </w:r>
            </w:hyperlink>
          </w:p>
          <w:p>
            <w:pPr>
              <w:pStyle w:val="registration-status"/>
              <w:spacing w:before="0" w:after="0"/>
            </w:pPr>
            <w:hyperlink w:history="true" r:id="Rb8085206c6be48bd">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5ac8b662ce894a86">
              <w:r>
                <w:rPr>
                  <w:rStyle w:val="Hyperlink"/>
                </w:rPr>
                <w:t xml:space="preserve">Statistical Area Level 1 of usual residence NBEDS 2021–22</w:t>
              </w:r>
            </w:hyperlink>
          </w:p>
          <w:p>
            <w:pPr>
              <w:pStyle w:val="registration-status"/>
              <w:spacing w:before="0" w:after="0"/>
            </w:pPr>
            <w:hyperlink w:history="true" r:id="Rd170e4deb09647bb">
              <w:r>
                <w:rPr>
                  <w:rStyle w:val="Hyperlink"/>
                  <w:color w:val="244061"/>
                </w:rPr>
                <w:t xml:space="preserve">Health!</w:t>
              </w:r>
            </w:hyperlink>
            <w:r>
              <w:rPr>
                <w:rStyle w:val="row-content"/>
                <w:color w:val="244061"/>
              </w:rPr>
              <w:t xml:space="preserve">, Superseded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6d9b4d43824c65">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90ed71a322459d">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bf71afa2a54755">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68ea91c23f4173">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f59a4242714c8e">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119958526a4ba8">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a1c74b5c70480c">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d2ba727b3c43af">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5208f587614ce7">
                    <w:r>
                      <w:rPr>
                        <w:rStyle w:val="Hyperlink"/>
                      </w:rPr>
                      <w:t xml:space="preserve">Mental health service contact—patient/client participation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8847b34dea430b">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c0da9d09e84ef2">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6bbafdf31740d0">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ef39bd4ec94650">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Community Mental Health Care NMDS:</w:t>
                  </w:r>
                </w:p>
                <w:tbl>
                  <w:tblPr>
                    <w:tblStyle w:val="InnerTable"/>
                    <w:tblW w:w="0" w:type="auto"/>
                  </w:tblPr>
                  <w:tblGrid>
                    <w:gridCol/>
                    <w:gridCol/>
                    <w:gridCol/>
                    <w:gridCol/>
                    <w:gridCol/>
                  </w:tblGrid>
                  <w:tr>
                    <w:trPr/>
                    <w:tc>
                      <w:tcPr>
                        <w:vAlign w:val="top"/>
                      </w:tcPr>
                      <w:p>
                        <w:r>
                          <w:t xml:space="preserve">STATE_CODE_2016</w:t>
                        </w:r>
                      </w:p>
                    </w:tc>
                    <w:tc>
                      <w:tcPr>
                        <w:vAlign w:val="top"/>
                      </w:tcPr>
                      <w:p>
                        <w:r>
                          <w:t xml:space="preserve">STATE_NAME_2016</w:t>
                        </w:r>
                      </w:p>
                    </w:tc>
                    <w:tc>
                      <w:tcPr>
                        <w:vAlign w:val="top"/>
                      </w:tcPr>
                      <w:p>
                        <w:r>
                          <w:t xml:space="preserve">Not applicable</w:t>
                        </w:r>
                      </w:p>
                    </w:tc>
                    <w:tc>
                      <w:tcPr>
                        <w:vAlign w:val="top"/>
                      </w:tcPr>
                      <w:p>
                        <w:r>
                          <w:t xml:space="preserve">Unknown (Not stated/inadequately described)</w:t>
                        </w:r>
                      </w:p>
                    </w:tc>
                    <w:tc>
                      <w:tcPr>
                        <w:vAlign w:val="top"/>
                      </w:tcPr>
                      <w:p>
                        <w:r>
                          <w:t xml:space="preserve">No usual address</w:t>
                        </w:r>
                      </w:p>
                    </w:tc>
                  </w:tr>
                  <w:tr>
                    <w:trPr/>
                    <w:tc>
                      <w:tcPr>
                        <w:vAlign w:val="top"/>
                      </w:tcPr>
                      <w:p>
                        <w:r>
                          <w:t xml:space="preserve">1</w:t>
                        </w:r>
                      </w:p>
                    </w:tc>
                    <w:tc>
                      <w:tcPr>
                        <w:vAlign w:val="top"/>
                      </w:tcPr>
                      <w:p>
                        <w:r>
                          <w:t xml:space="preserve">New South Wales</w:t>
                        </w:r>
                      </w:p>
                    </w:tc>
                    <w:tc>
                      <w:tcPr>
                        <w:vAlign w:val="top"/>
                      </w:tcPr>
                      <w:p>
                        <w:r>
                          <w:t xml:space="preserve">199999497</w:t>
                        </w:r>
                      </w:p>
                    </w:tc>
                    <w:tc>
                      <w:tcPr>
                        <w:vAlign w:val="top"/>
                      </w:tcPr>
                      <w:p>
                        <w:r>
                          <w:t xml:space="preserve">199999498</w:t>
                        </w:r>
                      </w:p>
                    </w:tc>
                    <w:tc>
                      <w:tcPr>
                        <w:vAlign w:val="top"/>
                      </w:tcPr>
                      <w:p>
                        <w:r>
                          <w:t xml:space="preserve">199999499</w:t>
                        </w:r>
                      </w:p>
                    </w:tc>
                  </w:tr>
                  <w:tr>
                    <w:trPr/>
                    <w:tc>
                      <w:tcPr>
                        <w:vAlign w:val="top"/>
                      </w:tcPr>
                      <w:p>
                        <w:r>
                          <w:t xml:space="preserve">2</w:t>
                        </w:r>
                      </w:p>
                    </w:tc>
                    <w:tc>
                      <w:tcPr>
                        <w:vAlign w:val="top"/>
                      </w:tcPr>
                      <w:p>
                        <w:r>
                          <w:t xml:space="preserve">Victoria</w:t>
                        </w:r>
                      </w:p>
                    </w:tc>
                    <w:tc>
                      <w:tcPr>
                        <w:vAlign w:val="top"/>
                      </w:tcPr>
                      <w:p>
                        <w:r>
                          <w:t xml:space="preserve">299999497</w:t>
                        </w:r>
                      </w:p>
                    </w:tc>
                    <w:tc>
                      <w:tcPr>
                        <w:vAlign w:val="top"/>
                      </w:tcPr>
                      <w:p>
                        <w:r>
                          <w:t xml:space="preserve">299999498</w:t>
                        </w:r>
                      </w:p>
                    </w:tc>
                    <w:tc>
                      <w:tcPr>
                        <w:vAlign w:val="top"/>
                      </w:tcPr>
                      <w:p>
                        <w:r>
                          <w:t xml:space="preserve">299999499</w:t>
                        </w:r>
                      </w:p>
                    </w:tc>
                  </w:tr>
                  <w:tr>
                    <w:trPr/>
                    <w:tc>
                      <w:tcPr>
                        <w:vAlign w:val="top"/>
                      </w:tcPr>
                      <w:p>
                        <w:r>
                          <w:t xml:space="preserve">3</w:t>
                        </w:r>
                      </w:p>
                    </w:tc>
                    <w:tc>
                      <w:tcPr>
                        <w:vAlign w:val="top"/>
                      </w:tcPr>
                      <w:p>
                        <w:r>
                          <w:t xml:space="preserve">Queensland</w:t>
                        </w:r>
                      </w:p>
                    </w:tc>
                    <w:tc>
                      <w:tcPr>
                        <w:vAlign w:val="top"/>
                      </w:tcPr>
                      <w:p>
                        <w:r>
                          <w:t xml:space="preserve">399999497</w:t>
                        </w:r>
                      </w:p>
                    </w:tc>
                    <w:tc>
                      <w:tcPr>
                        <w:vAlign w:val="top"/>
                      </w:tcPr>
                      <w:p>
                        <w:r>
                          <w:t xml:space="preserve">399999498</w:t>
                        </w:r>
                      </w:p>
                    </w:tc>
                    <w:tc>
                      <w:tcPr>
                        <w:vAlign w:val="top"/>
                      </w:tcPr>
                      <w:p>
                        <w:r>
                          <w:t xml:space="preserve">399999499</w:t>
                        </w:r>
                      </w:p>
                    </w:tc>
                  </w:tr>
                  <w:tr>
                    <w:trPr/>
                    <w:tc>
                      <w:tcPr>
                        <w:vAlign w:val="top"/>
                      </w:tcPr>
                      <w:p>
                        <w:r>
                          <w:t xml:space="preserve">4</w:t>
                        </w:r>
                      </w:p>
                    </w:tc>
                    <w:tc>
                      <w:tcPr>
                        <w:vAlign w:val="top"/>
                      </w:tcPr>
                      <w:p>
                        <w:r>
                          <w:t xml:space="preserve">South Australia</w:t>
                        </w:r>
                      </w:p>
                    </w:tc>
                    <w:tc>
                      <w:tcPr>
                        <w:vAlign w:val="top"/>
                      </w:tcPr>
                      <w:p>
                        <w:r>
                          <w:t xml:space="preserve">499999497</w:t>
                        </w:r>
                      </w:p>
                    </w:tc>
                    <w:tc>
                      <w:tcPr>
                        <w:vAlign w:val="top"/>
                      </w:tcPr>
                      <w:p>
                        <w:r>
                          <w:t xml:space="preserve">499999498</w:t>
                        </w:r>
                      </w:p>
                    </w:tc>
                    <w:tc>
                      <w:tcPr>
                        <w:vAlign w:val="top"/>
                      </w:tcPr>
                      <w:p>
                        <w:r>
                          <w:t xml:space="preserve">499999499</w:t>
                        </w:r>
                      </w:p>
                    </w:tc>
                  </w:tr>
                  <w:tr>
                    <w:trPr/>
                    <w:tc>
                      <w:tcPr>
                        <w:vAlign w:val="top"/>
                      </w:tcPr>
                      <w:p>
                        <w:r>
                          <w:t xml:space="preserve">5</w:t>
                        </w:r>
                      </w:p>
                    </w:tc>
                    <w:tc>
                      <w:tcPr>
                        <w:vAlign w:val="top"/>
                      </w:tcPr>
                      <w:p>
                        <w:r>
                          <w:t xml:space="preserve">Western Australia</w:t>
                        </w:r>
                      </w:p>
                    </w:tc>
                    <w:tc>
                      <w:tcPr>
                        <w:vAlign w:val="top"/>
                      </w:tcPr>
                      <w:p>
                        <w:r>
                          <w:t xml:space="preserve">599999497</w:t>
                        </w:r>
                      </w:p>
                    </w:tc>
                    <w:tc>
                      <w:tcPr>
                        <w:vAlign w:val="top"/>
                      </w:tcPr>
                      <w:p>
                        <w:r>
                          <w:t xml:space="preserve">599999498</w:t>
                        </w:r>
                      </w:p>
                    </w:tc>
                    <w:tc>
                      <w:tcPr>
                        <w:vAlign w:val="top"/>
                      </w:tcPr>
                      <w:p>
                        <w:r>
                          <w:t xml:space="preserve">599999499</w:t>
                        </w:r>
                      </w:p>
                    </w:tc>
                  </w:tr>
                  <w:tr>
                    <w:trPr/>
                    <w:tc>
                      <w:tcPr>
                        <w:vAlign w:val="top"/>
                      </w:tcPr>
                      <w:p>
                        <w:r>
                          <w:t xml:space="preserve">6</w:t>
                        </w:r>
                      </w:p>
                    </w:tc>
                    <w:tc>
                      <w:tcPr>
                        <w:vAlign w:val="top"/>
                      </w:tcPr>
                      <w:p>
                        <w:r>
                          <w:t xml:space="preserve">Tasmania</w:t>
                        </w:r>
                      </w:p>
                    </w:tc>
                    <w:tc>
                      <w:tcPr>
                        <w:vAlign w:val="top"/>
                      </w:tcPr>
                      <w:p>
                        <w:r>
                          <w:t xml:space="preserve">699999497</w:t>
                        </w:r>
                      </w:p>
                    </w:tc>
                    <w:tc>
                      <w:tcPr>
                        <w:vAlign w:val="top"/>
                      </w:tcPr>
                      <w:p>
                        <w:r>
                          <w:t xml:space="preserve">699999498</w:t>
                        </w:r>
                      </w:p>
                    </w:tc>
                    <w:tc>
                      <w:tcPr>
                        <w:vAlign w:val="top"/>
                      </w:tcPr>
                      <w:p>
                        <w:r>
                          <w:t xml:space="preserve">699999499</w:t>
                        </w:r>
                      </w:p>
                    </w:tc>
                  </w:tr>
                  <w:tr>
                    <w:trPr/>
                    <w:tc>
                      <w:tcPr>
                        <w:vAlign w:val="top"/>
                      </w:tcPr>
                      <w:p>
                        <w:r>
                          <w:t xml:space="preserve">7</w:t>
                        </w:r>
                      </w:p>
                    </w:tc>
                    <w:tc>
                      <w:tcPr>
                        <w:vAlign w:val="top"/>
                      </w:tcPr>
                      <w:p>
                        <w:r>
                          <w:t xml:space="preserve">Northern Territory</w:t>
                        </w:r>
                      </w:p>
                    </w:tc>
                    <w:tc>
                      <w:tcPr>
                        <w:vAlign w:val="top"/>
                      </w:tcPr>
                      <w:p>
                        <w:r>
                          <w:t xml:space="preserve">799999497</w:t>
                        </w:r>
                      </w:p>
                    </w:tc>
                    <w:tc>
                      <w:tcPr>
                        <w:vAlign w:val="top"/>
                      </w:tcPr>
                      <w:p>
                        <w:r>
                          <w:t xml:space="preserve">799999498</w:t>
                        </w:r>
                      </w:p>
                    </w:tc>
                    <w:tc>
                      <w:tcPr>
                        <w:vAlign w:val="top"/>
                      </w:tcPr>
                      <w:p>
                        <w:r>
                          <w:t xml:space="preserve">799999499</w:t>
                        </w:r>
                      </w:p>
                    </w:tc>
                  </w:tr>
                  <w:tr>
                    <w:trPr/>
                    <w:tc>
                      <w:tcPr>
                        <w:vAlign w:val="top"/>
                      </w:tcPr>
                      <w:p>
                        <w:r>
                          <w:t xml:space="preserve">8</w:t>
                        </w:r>
                      </w:p>
                    </w:tc>
                    <w:tc>
                      <w:tcPr>
                        <w:vAlign w:val="top"/>
                      </w:tcPr>
                      <w:p>
                        <w:r>
                          <w:t xml:space="preserve">Australian Capital Territory</w:t>
                        </w:r>
                      </w:p>
                    </w:tc>
                    <w:tc>
                      <w:tcPr>
                        <w:vAlign w:val="top"/>
                      </w:tcPr>
                      <w:p>
                        <w:r>
                          <w:t xml:space="preserve">899999497</w:t>
                        </w:r>
                      </w:p>
                    </w:tc>
                    <w:tc>
                      <w:tcPr>
                        <w:vAlign w:val="top"/>
                      </w:tcPr>
                      <w:p>
                        <w:r>
                          <w:t xml:space="preserve">899999498</w:t>
                        </w:r>
                      </w:p>
                    </w:tc>
                    <w:tc>
                      <w:tcPr>
                        <w:vAlign w:val="top"/>
                      </w:tcPr>
                      <w:p>
                        <w:r>
                          <w:t xml:space="preserve">899999499</w:t>
                        </w:r>
                      </w:p>
                    </w:tc>
                  </w:tr>
                  <w:tr>
                    <w:trPr/>
                    <w:tc>
                      <w:tcPr>
                        <w:vAlign w:val="top"/>
                      </w:tcPr>
                      <w:p>
                        <w:r>
                          <w:t xml:space="preserve">9</w:t>
                        </w:r>
                      </w:p>
                    </w:tc>
                    <w:tc>
                      <w:tcPr>
                        <w:vAlign w:val="top"/>
                      </w:tcPr>
                      <w:p>
                        <w:r>
                          <w:t xml:space="preserve">Other Territories</w:t>
                        </w:r>
                      </w:p>
                    </w:tc>
                    <w:tc>
                      <w:tcPr>
                        <w:vAlign w:val="top"/>
                      </w:tcPr>
                      <w:p>
                        <w:r>
                          <w:t xml:space="preserve">999999497</w:t>
                        </w:r>
                      </w:p>
                    </w:tc>
                    <w:tc>
                      <w:tcPr>
                        <w:vAlign w:val="top"/>
                      </w:tcPr>
                      <w:p>
                        <w:r>
                          <w:t xml:space="preserve">999999498</w:t>
                        </w:r>
                      </w:p>
                    </w:tc>
                    <w:tc>
                      <w:tcPr>
                        <w:vAlign w:val="top"/>
                      </w:tcPr>
                      <w:p>
                        <w:r>
                          <w:t xml:space="preserve">999999499</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7f4350a3094c83">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b2f76b83e2431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74928c4393479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e4ee437d6947fd">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1bd78f2c264514">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b6c19a9664ee4fc5">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b67646af02445f">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ae9fd1e58c4cf3">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53ff89193c4226">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e07e43f60640ad">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a57c5ebf3d4b67">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166701c8704a06">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9f832efb9d4841">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a816d66dbac4b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a7836d8a3b40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816d66dbac4ba6" /><Relationship Type="http://schemas.openxmlformats.org/officeDocument/2006/relationships/header" Target="/word/header1.xml" Id="R60bb8663773c457f" /><Relationship Type="http://schemas.openxmlformats.org/officeDocument/2006/relationships/settings" Target="/word/settings.xml" Id="Rc8a71f61b4b74381" /><Relationship Type="http://schemas.openxmlformats.org/officeDocument/2006/relationships/styles" Target="/word/styles.xml" Id="Refb9b9e6f9e94bbc" /><Relationship Type="http://schemas.openxmlformats.org/officeDocument/2006/relationships/numbering" Target="/word/numbering.xml" Id="R3cd3d1759b114f4e" /><Relationship Type="http://schemas.openxmlformats.org/officeDocument/2006/relationships/hyperlink" Target="https://meteor-uat.aihw.gov.au/RegistrationAuthority/14" TargetMode="External" Id="Rb7eb47a33f8548b2" /><Relationship Type="http://schemas.openxmlformats.org/officeDocument/2006/relationships/hyperlink" Target="https://meteor-uat.aihw.gov.au/content/727358" TargetMode="External" Id="Re620c99d53f14293" /><Relationship Type="http://schemas.openxmlformats.org/officeDocument/2006/relationships/hyperlink" Target="https://meteor-uat.aihw.gov.au/content/268984" TargetMode="External" Id="R2edaad41c5aa4779" /><Relationship Type="http://schemas.openxmlformats.org/officeDocument/2006/relationships/hyperlink" Target="https://meteor-uat.aihw.gov.au/content/699980" TargetMode="External" Id="R70d07146dd5e412b" /><Relationship Type="http://schemas.openxmlformats.org/officeDocument/2006/relationships/hyperlink" Target="https://meteor-uat.aihw.gov.au/content/268984" TargetMode="External" Id="Rc0ae97d4a2344913" /><Relationship Type="http://schemas.openxmlformats.org/officeDocument/2006/relationships/hyperlink" Target="https://meteor-uat.aihw.gov.au/content/727358" TargetMode="External" Id="Ra87886cb1e224f25" /><Relationship Type="http://schemas.openxmlformats.org/officeDocument/2006/relationships/hyperlink" Target="https://meteor-uat.aihw.gov.au/content/409067" TargetMode="External" Id="R321d2d4423cd4ad6" /><Relationship Type="http://schemas.openxmlformats.org/officeDocument/2006/relationships/hyperlink" Target="https://meteor-uat.aihw.gov.au/content/722178" TargetMode="External" Id="R2e5e05c040d94f85" /><Relationship Type="http://schemas.openxmlformats.org/officeDocument/2006/relationships/hyperlink" Target="https://meteor-uat.aihw.gov.au/content/699980" TargetMode="External" Id="R895d6f7f4c5a4d80" /><Relationship Type="http://schemas.openxmlformats.org/officeDocument/2006/relationships/hyperlink" Target="https://meteor-uat.aihw.gov.au/content/722655" TargetMode="External" Id="Rfb59145e1be64ba6" /><Relationship Type="http://schemas.openxmlformats.org/officeDocument/2006/relationships/hyperlink" Target="https://meteor-uat.aihw.gov.au/content/722666" TargetMode="External" Id="R2c38b2390f2642e1" /><Relationship Type="http://schemas.openxmlformats.org/officeDocument/2006/relationships/hyperlink" Target="https://meteor-uat.aihw.gov.au/content/373049" TargetMode="External" Id="R49c28a51bc0a4aee" /><Relationship Type="http://schemas.openxmlformats.org/officeDocument/2006/relationships/hyperlink" Target="https://meteor-uat.aihw.gov.au/content/327268" TargetMode="External" Id="Rd793ae639cdc4b3c" /><Relationship Type="http://schemas.openxmlformats.org/officeDocument/2006/relationships/hyperlink" Target="https://meteor-uat.aihw.gov.au/content/722221" TargetMode="External" Id="R9ec48daee9b14dc4" /><Relationship Type="http://schemas.openxmlformats.org/officeDocument/2006/relationships/hyperlink" Target="https://meteor-uat.aihw.gov.au/RegistrationAuthority/14" TargetMode="External" Id="Rb9d1dcef10174ac9" /><Relationship Type="http://schemas.openxmlformats.org/officeDocument/2006/relationships/hyperlink" Target="https://meteor-uat.aihw.gov.au/content/742040" TargetMode="External" Id="Rbb2493bf77a64886" /><Relationship Type="http://schemas.openxmlformats.org/officeDocument/2006/relationships/hyperlink" Target="https://meteor-uat.aihw.gov.au/RegistrationAuthority/14" TargetMode="External" Id="Rd296d62b33344443" /><Relationship Type="http://schemas.openxmlformats.org/officeDocument/2006/relationships/hyperlink" Target="https://meteor-uat.aihw.gov.au/content/735108" TargetMode="External" Id="R342dd8448ef44119" /><Relationship Type="http://schemas.openxmlformats.org/officeDocument/2006/relationships/hyperlink" Target="https://meteor-uat.aihw.gov.au/RegistrationAuthority/14" TargetMode="External" Id="Rb8085206c6be48bd" /><Relationship Type="http://schemas.openxmlformats.org/officeDocument/2006/relationships/hyperlink" Target="https://meteor-uat.aihw.gov.au/content/727346" TargetMode="External" Id="R5ac8b662ce894a86" /><Relationship Type="http://schemas.openxmlformats.org/officeDocument/2006/relationships/hyperlink" Target="https://meteor-uat.aihw.gov.au/RegistrationAuthority/14" TargetMode="External" Id="Rd170e4deb09647bb" /><Relationship Type="http://schemas.openxmlformats.org/officeDocument/2006/relationships/hyperlink" Target="https://meteor-uat.aihw.gov.au/content/727343" TargetMode="External" Id="R166d9b4d43824c65" /><Relationship Type="http://schemas.openxmlformats.org/officeDocument/2006/relationships/hyperlink" Target="https://meteor-uat.aihw.gov.au/content/699609" TargetMode="External" Id="R8a90ed71a322459d" /><Relationship Type="http://schemas.openxmlformats.org/officeDocument/2006/relationships/hyperlink" Target="https://meteor-uat.aihw.gov.au/content/720081" TargetMode="External" Id="R3abf71afa2a54755" /><Relationship Type="http://schemas.openxmlformats.org/officeDocument/2006/relationships/hyperlink" Target="https://meteor-uat.aihw.gov.au/content/269940" TargetMode="External" Id="Rea68ea91c23f4173" /><Relationship Type="http://schemas.openxmlformats.org/officeDocument/2006/relationships/hyperlink" Target="https://meteor-uat.aihw.gov.au/content/407187" TargetMode="External" Id="Rb8f59a4242714c8e" /><Relationship Type="http://schemas.openxmlformats.org/officeDocument/2006/relationships/hyperlink" Target="https://meteor-uat.aihw.gov.au/content/269977" TargetMode="External" Id="R41119958526a4ba8" /><Relationship Type="http://schemas.openxmlformats.org/officeDocument/2006/relationships/hyperlink" Target="https://meteor-uat.aihw.gov.au/content/404858" TargetMode="External" Id="R74a1c74b5c70480c" /><Relationship Type="http://schemas.openxmlformats.org/officeDocument/2006/relationships/hyperlink" Target="https://meteor-uat.aihw.gov.au/content/409209" TargetMode="External" Id="R01d2ba727b3c43af" /><Relationship Type="http://schemas.openxmlformats.org/officeDocument/2006/relationships/hyperlink" Target="https://meteor-uat.aihw.gov.au/content/737291" TargetMode="External" Id="R815208f587614ce7" /><Relationship Type="http://schemas.openxmlformats.org/officeDocument/2006/relationships/hyperlink" Target="https://meteor-uat.aihw.gov.au/content/737299" TargetMode="External" Id="Rb28847b34dea430b" /><Relationship Type="http://schemas.openxmlformats.org/officeDocument/2006/relationships/hyperlink" Target="https://meteor-uat.aihw.gov.au/content/737218" TargetMode="External" Id="R05c0da9d09e84ef2" /><Relationship Type="http://schemas.openxmlformats.org/officeDocument/2006/relationships/hyperlink" Target="https://meteor-uat.aihw.gov.au/content/737307" TargetMode="External" Id="Rcc6bbafdf31740d0" /><Relationship Type="http://schemas.openxmlformats.org/officeDocument/2006/relationships/hyperlink" Target="https://meteor-uat.aihw.gov.au/content/659725" TargetMode="External" Id="Rb4ef39bd4ec94650" /><Relationship Type="http://schemas.openxmlformats.org/officeDocument/2006/relationships/hyperlink" Target="https://meteor-uat.aihw.gov.au/content/659454" TargetMode="External" Id="R267f4350a3094c83" /><Relationship Type="http://schemas.openxmlformats.org/officeDocument/2006/relationships/hyperlink" Target="https://meteor-uat.aihw.gov.au/content/287007" TargetMode="External" Id="R76b2f76b83e24313" /><Relationship Type="http://schemas.openxmlformats.org/officeDocument/2006/relationships/hyperlink" Target="https://meteor-uat.aihw.gov.au/content/602543" TargetMode="External" Id="Rbf74928c43934791" /><Relationship Type="http://schemas.openxmlformats.org/officeDocument/2006/relationships/hyperlink" Target="https://meteor-uat.aihw.gov.au/content/291045" TargetMode="External" Id="R7de4ee437d6947fd" /><Relationship Type="http://schemas.openxmlformats.org/officeDocument/2006/relationships/hyperlink" Target="https://meteor-uat.aihw.gov.au/content/290046" TargetMode="External" Id="R871bd78f2c264514" /><Relationship Type="http://schemas.openxmlformats.org/officeDocument/2006/relationships/hyperlink" Target="https://meteor-uat.aihw.gov.au/content/290046" TargetMode="External" Id="Rb6c19a9664ee4fc5" /><Relationship Type="http://schemas.openxmlformats.org/officeDocument/2006/relationships/hyperlink" Target="https://meteor-uat.aihw.gov.au/content/635126" TargetMode="External" Id="R83b67646af02445f" /><Relationship Type="http://schemas.openxmlformats.org/officeDocument/2006/relationships/hyperlink" Target="https://meteor-uat.aihw.gov.au/content/493279" TargetMode="External" Id="R2bae9fd1e58c4cf3" /><Relationship Type="http://schemas.openxmlformats.org/officeDocument/2006/relationships/hyperlink" Target="https://meteor-uat.aihw.gov.au/content/404186" TargetMode="External" Id="Rd853ff89193c4226" /><Relationship Type="http://schemas.openxmlformats.org/officeDocument/2006/relationships/hyperlink" Target="https://meteor-uat.aihw.gov.au/content/405767" TargetMode="External" Id="R90e07e43f60640ad" /><Relationship Type="http://schemas.openxmlformats.org/officeDocument/2006/relationships/hyperlink" Target="https://meteor-uat.aihw.gov.au/content/724354" TargetMode="External" Id="R3ca57c5ebf3d4b67" /><Relationship Type="http://schemas.openxmlformats.org/officeDocument/2006/relationships/hyperlink" Target="https://meteor-uat.aihw.gov.au/content/722184" TargetMode="External" Id="R7f166701c8704a06" /><Relationship Type="http://schemas.openxmlformats.org/officeDocument/2006/relationships/hyperlink" Target="https://meteor-uat.aihw.gov.au/content/682403" TargetMode="External" Id="Rbf9f832efb9d4841" /></Relationships>
</file>

<file path=word/_rels/header1.xml.rels>&#65279;<?xml version="1.0" encoding="utf-8"?><Relationships xmlns="http://schemas.openxmlformats.org/package/2006/relationships"><Relationship Type="http://schemas.openxmlformats.org/officeDocument/2006/relationships/image" Target="/media/image.png" Id="Rd5a7836d8a3b40a1" /></Relationships>
</file>