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408904247944de" /></Relationships>
</file>

<file path=word/document.xml><?xml version="1.0" encoding="utf-8"?>
<w:document xmlns:r="http://schemas.openxmlformats.org/officeDocument/2006/relationships" xmlns:w="http://schemas.openxmlformats.org/wordprocessingml/2006/main">
  <w:body>
    <w:p>
      <w:pPr>
        <w:pStyle w:val="Title"/>
      </w:pPr>
      <w:r>
        <w:t>Number of PBS/RPBS prescriptions dispensed for proton pump inhibitor medicines per 100,000 people aged 75 years and over, 2018-19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PBS/RPBS prescriptions dispensed for proton pump inhibitor medicines per 100,000 people aged 75 years and over,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Proton pump inhibitor medicines dispensing, 75 years and over,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ae99f095784a16">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PBS/RPBS prescriptions dispensed for proton pump inhibitor medicines per 100,000 people, 75 years and over,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0fbb874f2514572">
              <w:r>
                <w:rPr>
                  <w:rStyle w:val="Hyperlink"/>
                </w:rPr>
                <w:t xml:space="preserve">Australian Atlas of Healthcare Variation 2021</w:t>
              </w:r>
            </w:hyperlink>
          </w:p>
          <w:p>
            <w:pPr>
              <w:pStyle w:val="registration-status"/>
              <w:spacing w:before="0" w:after="0"/>
            </w:pPr>
            <w:hyperlink w:history="true" r:id="Rb4afec030fe747d6">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75 years and over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  Inclusion codes and description</w:t>
            </w:r>
          </w:p>
          <w:tbl>
            <w:tblPr>
              <w:tblStyle w:val="TableGrid"/>
              <w:tblW w:w="5000" w:type="pct"/>
              <w:tblLayout w:type="autofit"/>
            </w:tblPr>
            <w:tblGrid>
              <w:gridCol/>
              <w:gridCol/>
            </w:tblGrid>
            <w:tr>
              <w:trPr/>
              <w:tc>
                <w:tcPr>
                  <w:tcW w:w="2250" w:type="pct"/>
                  <w:vAlign w:val="top"/>
                </w:tcPr>
                <w:p>
                  <w:pPr/>
                  <w:r>
                    <w:rPr>
                      <w:rStyle w:val="row-content-rich-text"/>
                      <w:b/>
                    </w:rPr>
                    <w:t xml:space="preserve">Anatomical Therapeutic</w:t>
                  </w:r>
                  <w:r>
                    <w:br/>
                  </w:r>
                  <w:r>
                    <w:rPr>
                      <w:rStyle w:val="row-content-rich-text"/>
                      <w:b/>
                    </w:rPr>
                    <w:t xml:space="preserve">Chemical (ATC) code</w:t>
                  </w:r>
                </w:p>
              </w:tc>
              <w:tc>
                <w:tcPr>
                  <w:tcW w:w="2700" w:type="pct"/>
                  <w:vAlign w:val="top"/>
                </w:tcPr>
                <w:p>
                  <w:r>
                    <w:rPr>
                      <w:b/>
                    </w:rPr>
                    <w:t xml:space="preserve">Description (drug name)</w:t>
                  </w:r>
                </w:p>
              </w:tc>
            </w:tr>
            <w:tr>
              <w:trPr/>
              <w:tc>
                <w:tcPr>
                  <w:tcW w:w="2250" w:type="pct"/>
                  <w:vAlign w:val="top"/>
                </w:tcPr>
                <w:p>
                  <w:r>
                    <w:t xml:space="preserve">A02BC</w:t>
                  </w:r>
                </w:p>
              </w:tc>
              <w:tc>
                <w:tcPr>
                  <w:tcW w:w="2700" w:type="pct"/>
                  <w:vAlign w:val="top"/>
                </w:tcPr>
                <w:p>
                  <w:r>
                    <w:t xml:space="preserve">ESOMEPRAZOLE</w:t>
                  </w:r>
                </w:p>
              </w:tc>
            </w:tr>
            <w:tr>
              <w:trPr/>
              <w:tc>
                <w:tcPr>
                  <w:tcW w:w="2250" w:type="pct"/>
                  <w:vAlign w:val="top"/>
                </w:tcPr>
                <w:p>
                  <w:r>
                    <w:t xml:space="preserve">A02BC</w:t>
                  </w:r>
                </w:p>
              </w:tc>
              <w:tc>
                <w:tcPr>
                  <w:tcW w:w="2700" w:type="pct"/>
                  <w:vAlign w:val="top"/>
                </w:tcPr>
                <w:p>
                  <w:r>
                    <w:t xml:space="preserve">LANSOPRAZOLE</w:t>
                  </w:r>
                </w:p>
              </w:tc>
            </w:tr>
            <w:tr>
              <w:trPr/>
              <w:tc>
                <w:tcPr>
                  <w:tcW w:w="2250" w:type="pct"/>
                  <w:vAlign w:val="top"/>
                </w:tcPr>
                <w:p>
                  <w:r>
                    <w:t xml:space="preserve">A02BC</w:t>
                  </w:r>
                </w:p>
              </w:tc>
              <w:tc>
                <w:tcPr>
                  <w:tcW w:w="2700" w:type="pct"/>
                  <w:vAlign w:val="top"/>
                </w:tcPr>
                <w:p>
                  <w:r>
                    <w:t xml:space="preserve">OMEPRAZOLE</w:t>
                  </w:r>
                </w:p>
              </w:tc>
            </w:tr>
            <w:tr>
              <w:trPr/>
              <w:tc>
                <w:tcPr>
                  <w:tcW w:w="2250" w:type="pct"/>
                  <w:vAlign w:val="top"/>
                </w:tcPr>
                <w:p>
                  <w:r>
                    <w:t xml:space="preserve">A02BC</w:t>
                  </w:r>
                </w:p>
              </w:tc>
              <w:tc>
                <w:tcPr>
                  <w:tcW w:w="2700" w:type="pct"/>
                  <w:vAlign w:val="top"/>
                </w:tcPr>
                <w:p>
                  <w:r>
                    <w:t xml:space="preserve">PANTOPRAZOLE</w:t>
                  </w:r>
                </w:p>
              </w:tc>
            </w:tr>
            <w:tr>
              <w:trPr/>
              <w:tc>
                <w:tcPr>
                  <w:tcW w:w="2250" w:type="pct"/>
                  <w:vAlign w:val="top"/>
                </w:tcPr>
                <w:p>
                  <w:r>
                    <w:t xml:space="preserve">A02BC</w:t>
                  </w:r>
                </w:p>
              </w:tc>
              <w:tc>
                <w:tcPr>
                  <w:tcW w:w="2700" w:type="pct"/>
                  <w:vAlign w:val="top"/>
                </w:tcPr>
                <w:p>
                  <w:r>
                    <w:t xml:space="preserve">RABEPRAZOLE</w:t>
                  </w:r>
                </w:p>
              </w:tc>
            </w:tr>
          </w:tbl>
          <w:p>
            <w:r>
              <w:rPr>
                <w:b/>
              </w:rPr>
              <w:t xml:space="preserve">  Inclusion codes and description </w:t>
            </w:r>
          </w:p>
          <w:tbl>
            <w:tblPr>
              <w:tblStyle w:val="TableGrid"/>
              <w:tblW w:w="5000" w:type="pct"/>
              <w:tblLayout w:type="autofit"/>
            </w:tblPr>
            <w:tblGrid>
              <w:gridCol/>
              <w:gridCol/>
            </w:tblGrid>
            <w:tr>
              <w:trPr/>
              <w:tc>
                <w:tcPr>
                  <w:tcW w:w="1000" w:type="pct"/>
                  <w:vAlign w:val="top"/>
                </w:tcPr>
                <w:p>
                  <w:r>
                    <w:rPr>
                      <w:b/>
                    </w:rPr>
                    <w:t xml:space="preserve">Patient category</w:t>
                  </w:r>
                </w:p>
              </w:tc>
              <w:tc>
                <w:tcPr>
                  <w:tcW w:w="4000" w:type="pct"/>
                  <w:vAlign w:val="top"/>
                </w:tcPr>
                <w:p>
                  <w:r>
                    <w:rPr>
                      <w:b/>
                    </w:rPr>
                    <w:t xml:space="preserve">Description</w:t>
                  </w:r>
                </w:p>
              </w:tc>
            </w:tr>
            <w:tr>
              <w:trPr/>
              <w:tc>
                <w:tcPr>
                  <w:tcW w:w="1000" w:type="pct"/>
                  <w:vAlign w:val="top"/>
                </w:tcPr>
                <w:p>
                  <w:r>
                    <w:t xml:space="preserve">G1</w:t>
                  </w:r>
                </w:p>
              </w:tc>
              <w:tc>
                <w:tcPr>
                  <w:tcW w:w="4000" w:type="pct"/>
                  <w:vAlign w:val="top"/>
                </w:tcPr>
                <w:p>
                  <w:r>
                    <w:t xml:space="preserve">General Safety Net prescription</w:t>
                  </w:r>
                </w:p>
              </w:tc>
            </w:tr>
            <w:tr>
              <w:trPr/>
              <w:tc>
                <w:tcPr>
                  <w:tcW w:w="1000" w:type="pct"/>
                  <w:vAlign w:val="top"/>
                </w:tcPr>
                <w:p>
                  <w:r>
                    <w:t xml:space="preserve">G2</w:t>
                  </w:r>
                </w:p>
              </w:tc>
              <w:tc>
                <w:tcPr>
                  <w:tcW w:w="4000" w:type="pct"/>
                  <w:vAlign w:val="top"/>
                </w:tcPr>
                <w:p>
                  <w:r>
                    <w:t xml:space="preserve">General non-Safety Net prescription</w:t>
                  </w:r>
                </w:p>
              </w:tc>
            </w:tr>
            <w:tr>
              <w:trPr/>
              <w:tc>
                <w:tcPr>
                  <w:tcW w:w="1000" w:type="pct"/>
                  <w:vAlign w:val="top"/>
                </w:tcPr>
                <w:p>
                  <w:r>
                    <w:t xml:space="preserve">C0</w:t>
                  </w:r>
                </w:p>
              </w:tc>
              <w:tc>
                <w:tcPr>
                  <w:tcW w:w="4000" w:type="pct"/>
                  <w:vAlign w:val="top"/>
                </w:tcPr>
                <w:p>
                  <w:r>
                    <w:t xml:space="preserve">Concessional Safety Net prescription</w:t>
                  </w:r>
                </w:p>
              </w:tc>
            </w:tr>
            <w:tr>
              <w:trPr/>
              <w:tc>
                <w:tcPr>
                  <w:tcW w:w="1000" w:type="pct"/>
                  <w:vAlign w:val="top"/>
                </w:tcPr>
                <w:p>
                  <w:r>
                    <w:t xml:space="preserve">C1</w:t>
                  </w:r>
                </w:p>
              </w:tc>
              <w:tc>
                <w:tcPr>
                  <w:tcW w:w="4000" w:type="pct"/>
                  <w:vAlign w:val="top"/>
                </w:tcPr>
                <w:p>
                  <w:r>
                    <w:t xml:space="preserve">Concessional non-Safety Net prescription</w:t>
                  </w:r>
                </w:p>
              </w:tc>
            </w:tr>
            <w:tr>
              <w:trPr/>
              <w:tc>
                <w:tcPr>
                  <w:tcW w:w="1000" w:type="pct"/>
                  <w:vAlign w:val="top"/>
                </w:tcPr>
                <w:p>
                  <w:r>
                    <w:t xml:space="preserve">R0</w:t>
                  </w:r>
                </w:p>
              </w:tc>
              <w:tc>
                <w:tcPr>
                  <w:tcW w:w="4000" w:type="pct"/>
                  <w:vAlign w:val="top"/>
                </w:tcPr>
                <w:p>
                  <w:r>
                    <w:t xml:space="preserve">Repatriation (Department of</w:t>
                  </w:r>
                  <w:r>
                    <w:br/>
                  </w:r>
                  <w:r>
                    <w:t xml:space="preserve">Veterans' Affairs - DVA)</w:t>
                  </w:r>
                  <w:r>
                    <w:br/>
                  </w:r>
                  <w:r>
                    <w:t xml:space="preserve">Safety Net prescription</w:t>
                  </w:r>
                </w:p>
              </w:tc>
            </w:tr>
            <w:tr>
              <w:trPr/>
              <w:tc>
                <w:tcPr>
                  <w:tcW w:w="1000" w:type="pct"/>
                  <w:vAlign w:val="top"/>
                </w:tcPr>
                <w:p>
                  <w:r>
                    <w:t xml:space="preserve">R1</w:t>
                  </w:r>
                </w:p>
              </w:tc>
              <w:tc>
                <w:tcPr>
                  <w:tcW w:w="4000" w:type="pct"/>
                  <w:vAlign w:val="top"/>
                </w:tcPr>
                <w:p>
                  <w:r>
                    <w:t xml:space="preserve">Repatriation (DVA) non-Safety Net prescription</w:t>
                  </w:r>
                </w:p>
              </w:tc>
            </w:tr>
            <w:tr>
              <w:trPr/>
              <w:tc>
                <w:tcPr>
                  <w:tcW w:w="1000" w:type="pct"/>
                  <w:vAlign w:val="top"/>
                </w:tcPr>
                <w:p>
                  <w:r>
                    <w:t xml:space="preserve"> </w:t>
                  </w:r>
                </w:p>
              </w:tc>
              <w:tc>
                <w:tcPr>
                  <w:tcW w:w="4000" w:type="pct"/>
                  <w:vAlign w:val="top"/>
                </w:tcPr>
                <w:p>
                  <w:r>
                    <w:t xml:space="preserve">Include if patient category is unknown</w:t>
                  </w:r>
                </w:p>
              </w:tc>
            </w:tr>
          </w:tbl>
          <w:p>
            <w:r>
              <w:t xml:space="preserve">Presented as the following rates:</w:t>
            </w:r>
          </w:p>
          <w:p>
            <w:r>
              <w:t xml:space="preserve">(a) number of prescriptions per 100,000 people</w:t>
            </w:r>
          </w:p>
          <w:p>
            <w:r>
              <w:t xml:space="preserve">(b) number of people dispensed a proton pump inhibitor medicine per 100,000 people</w:t>
            </w:r>
          </w:p>
          <w:p>
            <w:r>
              <w:t xml:space="preserve">(c) number of defined daily doses (DDD) per 1,000 people per day</w:t>
            </w:r>
          </w:p>
          <w:p>
            <w:r>
              <w:t xml:space="preserve">Rates are directly age-sex standardised, to the 30 June 2001 Australian population, using 5-year age groups: 75-79, 80-84, 85 and over.</w:t>
            </w:r>
          </w:p>
          <w:p>
            <w:r>
              <w:t xml:space="preserve">For more information about age-standardisation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951b4ebe72dc4b29">
              <w:r>
                <w:rPr>
                  <w:rStyle w:val="Hyperlink"/>
                  <w:b/>
                </w:rPr>
                <w:t xml:space="preserve">Age-standardised rate.</w:t>
              </w:r>
            </w:hyperlink>
            <w:r>
              <w:t xml:space="preserve"> </w:t>
            </w:r>
          </w:p>
          <w:p>
            <w:r>
              <w:t xml:space="preserve">A patient’s age is calculated in years as the difference between the patient’s date of birth and date of supply for the prescription. A patient can be in two age groups if the patient was dispensed a prescription before their birthday, and a prescription after their birthday. In this example, one prescription and half a patient are allocated to the two age groups. Date of birth and sex are as reported on a patient’s last prescription for any medicine, extracted on 27/03/2020.</w:t>
            </w:r>
          </w:p>
          <w:p>
            <w:r>
              <w:t xml:space="preserve">Prescriptions are allocated to a financial year based on the date the medicine was supplied to the patient.</w:t>
            </w:r>
          </w:p>
          <w:p>
            <w:r>
              <w:t xml:space="preserve">Analysis by Statistical Area Level 3 (SA3) 2016 is based on the patient's enrolment postcode as last reported by the patient to Medicare, valid at the date of supply. If the postcode cannot be allocated to a SA3 (for example, an invalid postcode), the postcode is replaced with the postcode of the dispensing pharmacy.  </w:t>
            </w:r>
          </w:p>
          <w:p>
            <w:r>
              <w:t xml:space="preserve">Suppress data (number and rate) if at least one of the following conditions are met:</w:t>
            </w:r>
          </w:p>
          <w:p>
            <w:pPr>
              <w:pStyle w:val="ListParagraph"/>
              <w:numPr>
                <w:ilvl w:val="0"/>
                <w:numId w:val="2"/>
              </w:numPr>
            </w:pPr>
            <w:r>
              <w:t xml:space="preserve">the total denominator is less than 200</w:t>
            </w:r>
          </w:p>
          <w:p>
            <w:pPr>
              <w:pStyle w:val="ListParagraph"/>
              <w:numPr>
                <w:ilvl w:val="0"/>
                <w:numId w:val="2"/>
              </w:numPr>
            </w:pPr>
            <w:r>
              <w:t xml:space="preserve">the total numerator is less than 20.</w:t>
            </w:r>
          </w:p>
          <w:p>
            <w:r>
              <w:t xml:space="preserve">Age-sex standardised rates are also suppressed where the denominator for at least one of the age-sex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80648d7385394363">
              <w:r>
                <w:rPr>
                  <w:rStyle w:val="Hyperlink"/>
                </w:rPr>
                <w:t xml:space="preserve">Technical supplement of the Fourth Atlas</w:t>
              </w:r>
            </w:hyperlink>
            <w:r>
              <w:t xml:space="preserve">.</w:t>
            </w:r>
          </w:p>
          <w:p>
            <w:r>
              <w:t xml:space="preserve">Consequential suppression may be applied to preserve confidentialised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(a), (b)  [Numerator ÷ Denominator] x 100,000</w:t>
                  </w:r>
                </w:p>
                <w:p>
                  <w:pPr/>
                  <w:r>
                    <w:rPr>
                      <w:rStyle w:val="row-content-rich-text"/>
                    </w:rPr>
                    <w:t xml:space="preserve">(c) [Numerator x 1,000] ÷ [Denominator x 365]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proton pump inhibitor prescriptions dispensed, 75 years and over</w:t>
            </w:r>
          </w:p>
          <w:p>
            <w:pPr>
              <w:spacing w:after="160"/>
            </w:pPr>
            <w:r>
              <w:rPr>
                <w:rStyle w:val="row-content-rich-text"/>
              </w:rPr>
              <w:t xml:space="preserve">(b) (i) Number of people, 75 years and over, dispensed at least one proton pump inhibitor prescription</w:t>
            </w:r>
          </w:p>
          <w:p>
            <w:pPr>
              <w:spacing w:after="160"/>
            </w:pPr>
            <w:r>
              <w:rPr>
                <w:rStyle w:val="row-content-rich-text"/>
              </w:rPr>
              <w:t xml:space="preserve">     (ii) Number of people, 75 years and over, dispensed at least four proton pump inhibitor prescriptions</w:t>
            </w:r>
          </w:p>
          <w:p>
            <w:pPr/>
            <w:r>
              <w:rPr>
                <w:rStyle w:val="row-content-rich-text"/>
              </w:rPr>
              <w:t xml:space="preserve">(c) Number of DDD of proton pump inhitor medicines dispensed [mass amount x quantity dispensed ÷ DDD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Defined daily dose amount, N(3.3)</w:t>
            </w:r>
          </w:p>
          <w:p>
            <w:r>
              <w:rPr>
                <w:rStyle w:val="row-content"/>
                <w:b/>
              </w:rPr>
              <w:t xml:space="preserve">Guide for use</w:t>
            </w:r>
          </w:p>
          <w:p>
            <w:r>
              <w:rPr>
                <w:rStyle w:val="row-content"/>
              </w:rPr>
              <w:t xml:space="preserve">Data Source: WHO Collaborating Centre for Drug Statistics Methodology</w:t>
            </w:r>
          </w:p>
          <w:p>
            <w:r>
              <w:rPr>
                <w:rStyle w:val="row-content"/>
              </w:rPr>
              <w:t xml:space="preserve"> </w:t>
            </w:r>
          </w:p>
          <w:p>
            <w:r>
              <w:rPr>
                <w:rStyle w:val="row-content"/>
                <w:b/>
                <w:color w:val="000000"/>
              </w:rPr>
              <w:t xml:space="preserve">Data Element / Data Set</w:t>
            </w:r>
          </w:p>
          <w:p>
            <w:r>
              <w:rPr>
                <w:rStyle w:val="row-content"/>
              </w:rPr>
              <w:t xml:space="preserve">Pharmaceutical Benefits Scheme (PBS) prescription - Anatomical Therapeutic Chemical (ATC) code, ANN (AANN)</w:t>
            </w:r>
          </w:p>
          <w:p>
            <w:r>
              <w:rPr>
                <w:rStyle w:val="row-content"/>
                <w:b/>
              </w:rPr>
              <w:t xml:space="preserve">Data Source</w:t>
            </w:r>
          </w:p>
          <w:p>
            <w:hyperlink w:history="true" r:id="R281be72b22ee4888">
              <w:r>
                <w:rPr>
                  <w:rStyle w:val="Hyperlink"/>
                </w:rPr>
                <w:t xml:space="preserve">Pharmaceutical Benefits Scheme (PBS) data</w:t>
              </w:r>
            </w:hyperlink>
          </w:p>
          <w:p>
            <w:r>
              <w:rPr>
                <w:rStyle w:val="row-content"/>
                <w:b/>
              </w:rPr>
              <w:t xml:space="preserve">Guide for use</w:t>
            </w:r>
          </w:p>
          <w:p>
            <w:r>
              <w:rPr>
                <w:rStyle w:val="row-content"/>
                <w:b/>
              </w:rPr>
              <w:t xml:space="preserve">NMDS / DSS</w:t>
            </w:r>
            <w:r>
              <w:br/>
            </w:r>
            <w:r>
              <w:rPr>
                <w:rStyle w:val="row-content"/>
              </w:rPr>
              <w:t xml:space="preserve">PBS and RPBS data 2018-19 extracted on 27/03/2020</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Pharmaceutical Benefits Scheme (PBS) prescription - mass amount, N(5.3)</w:t>
            </w:r>
          </w:p>
          <w:p>
            <w:r>
              <w:rPr>
                <w:rStyle w:val="row-content"/>
                <w:b/>
              </w:rPr>
              <w:t xml:space="preserve">Data Source</w:t>
            </w:r>
          </w:p>
          <w:p>
            <w:hyperlink w:history="true" r:id="Rb181b15bee044a23">
              <w:r>
                <w:rPr>
                  <w:rStyle w:val="Hyperlink"/>
                </w:rPr>
                <w:t xml:space="preserve">Pharmaceutical Benefits Scheme (PBS) data</w:t>
              </w:r>
            </w:hyperlink>
          </w:p>
          <w:p>
            <w:r>
              <w:rPr>
                <w:rStyle w:val="row-content"/>
                <w:b/>
              </w:rPr>
              <w:t xml:space="preserve">Guide for use</w:t>
            </w:r>
          </w:p>
          <w:p>
            <w:r>
              <w:rPr>
                <w:rStyle w:val="row-content"/>
                <w:b/>
              </w:rPr>
              <w:t xml:space="preserve">NMDS / DSS</w:t>
            </w:r>
            <w:r>
              <w:br/>
            </w:r>
            <w:r>
              <w:rPr>
                <w:rStyle w:val="row-content"/>
              </w:rPr>
              <w:t xml:space="preserve">PBS and RPBS data 2018-19 extracted on 27/03/2020</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a88396cbeb74bc1">
              <w:r>
                <w:rPr>
                  <w:rStyle w:val="Hyperlink"/>
                </w:rPr>
                <w:t xml:space="preserve">Person—date of birth, DDMMYYYY</w:t>
              </w:r>
            </w:hyperlink>
          </w:p>
          <w:p>
            <w:r>
              <w:rPr>
                <w:rStyle w:val="row-content"/>
                <w:b/>
              </w:rPr>
              <w:t xml:space="preserve">Data Source</w:t>
            </w:r>
          </w:p>
          <w:p>
            <w:hyperlink w:history="true" r:id="Rf28dec2ece964111">
              <w:r>
                <w:rPr>
                  <w:rStyle w:val="Hyperlink"/>
                </w:rPr>
                <w:t xml:space="preserve">Pharmaceutical Benefits Scheme (PBS) data</w:t>
              </w:r>
            </w:hyperlink>
          </w:p>
          <w:p>
            <w:r>
              <w:rPr>
                <w:rStyle w:val="row-content"/>
                <w:b/>
              </w:rPr>
              <w:t xml:space="preserve">Guide for use</w:t>
            </w:r>
          </w:p>
          <w:p>
            <w:r>
              <w:rPr>
                <w:rStyle w:val="row-content"/>
                <w:b/>
              </w:rPr>
              <w:t xml:space="preserve">NMDS / DSS</w:t>
            </w:r>
            <w:r>
              <w:br/>
            </w:r>
            <w:r>
              <w:rPr>
                <w:rStyle w:val="row-content"/>
              </w:rPr>
              <w:t xml:space="preserve">PBS and RPBS data 2018-19 extracted on 27/03/2020</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65529b49527441f">
              <w:r>
                <w:rPr>
                  <w:rStyle w:val="Hyperlink"/>
                </w:rPr>
                <w:t xml:space="preserve">Pharmaceutical Benefits Scheme (PBS) prescription—patient identifier, identifier N(9)</w:t>
              </w:r>
            </w:hyperlink>
          </w:p>
          <w:p>
            <w:r>
              <w:rPr>
                <w:rStyle w:val="row-content"/>
                <w:b/>
              </w:rPr>
              <w:t xml:space="preserve">Data Source</w:t>
            </w:r>
          </w:p>
          <w:p>
            <w:hyperlink w:history="true" r:id="R4194af40923248e3">
              <w:r>
                <w:rPr>
                  <w:rStyle w:val="Hyperlink"/>
                </w:rPr>
                <w:t xml:space="preserve">Pharmaceutical Benefits Scheme (PBS) data</w:t>
              </w:r>
            </w:hyperlink>
          </w:p>
          <w:p>
            <w:r>
              <w:rPr>
                <w:rStyle w:val="row-content"/>
                <w:b/>
              </w:rPr>
              <w:t xml:space="preserve">Guide for use</w:t>
            </w:r>
          </w:p>
          <w:p>
            <w:r>
              <w:rPr>
                <w:rStyle w:val="row-content"/>
                <w:b/>
              </w:rPr>
              <w:t xml:space="preserve">NMDS / DSS</w:t>
            </w:r>
            <w:r>
              <w:br/>
            </w:r>
            <w:r>
              <w:rPr>
                <w:rStyle w:val="row-content"/>
              </w:rPr>
              <w:t xml:space="preserve">PBS and RPBS data 2018-19 extracted on 27/03/2020</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3a4fb7357094ac0">
              <w:r>
                <w:rPr>
                  <w:rStyle w:val="Hyperlink"/>
                </w:rPr>
                <w:t xml:space="preserve">Pharmaceutical Benefits Scheme (PBS) prescription—quantity of PBS item supplied, total number N[NNN]</w:t>
              </w:r>
            </w:hyperlink>
          </w:p>
          <w:p>
            <w:r>
              <w:rPr>
                <w:rStyle w:val="row-content"/>
                <w:b/>
              </w:rPr>
              <w:t xml:space="preserve">Data Source</w:t>
            </w:r>
          </w:p>
          <w:p>
            <w:hyperlink w:history="true" r:id="R5548724601414b9f">
              <w:r>
                <w:rPr>
                  <w:rStyle w:val="Hyperlink"/>
                </w:rPr>
                <w:t xml:space="preserve">Pharmaceutical Benefits Scheme (PBS) data</w:t>
              </w:r>
            </w:hyperlink>
          </w:p>
          <w:p>
            <w:r>
              <w:rPr>
                <w:rStyle w:val="row-content"/>
                <w:b/>
              </w:rPr>
              <w:t xml:space="preserve">Guide for use</w:t>
            </w:r>
          </w:p>
          <w:p>
            <w:r>
              <w:rPr>
                <w:rStyle w:val="row-content"/>
                <w:b/>
              </w:rPr>
              <w:t xml:space="preserve">NMDS / DSS</w:t>
            </w:r>
            <w:r>
              <w:br/>
            </w:r>
            <w:r>
              <w:rPr>
                <w:rStyle w:val="row-content"/>
              </w:rPr>
              <w:t xml:space="preserve">PBS and RPBS data 2018-19 extracted on 27/03/2020</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49bf3d208204754">
              <w:r>
                <w:rPr>
                  <w:rStyle w:val="Hyperlink"/>
                </w:rPr>
                <w:t xml:space="preserve">Person—sex, code A</w:t>
              </w:r>
            </w:hyperlink>
          </w:p>
          <w:p>
            <w:r>
              <w:rPr>
                <w:rStyle w:val="row-content"/>
                <w:b/>
              </w:rPr>
              <w:t xml:space="preserve">Data Source</w:t>
            </w:r>
          </w:p>
          <w:p>
            <w:hyperlink w:history="true" r:id="Rbbe116533cf748ca">
              <w:r>
                <w:rPr>
                  <w:rStyle w:val="Hyperlink"/>
                </w:rPr>
                <w:t xml:space="preserve">Pharmaceutical Benefits Scheme (PBS) data</w:t>
              </w:r>
            </w:hyperlink>
          </w:p>
          <w:p>
            <w:r>
              <w:rPr>
                <w:rStyle w:val="row-content"/>
                <w:b/>
              </w:rPr>
              <w:t xml:space="preserve">Guide for use</w:t>
            </w:r>
          </w:p>
          <w:p>
            <w:r>
              <w:rPr>
                <w:rStyle w:val="row-content"/>
                <w:b/>
              </w:rPr>
              <w:t xml:space="preserve">NMDS / DSS</w:t>
            </w:r>
            <w:r>
              <w:br/>
            </w:r>
            <w:r>
              <w:rPr>
                <w:rStyle w:val="row-content"/>
              </w:rPr>
              <w:t xml:space="preserve">PBS and RPBS data 2018-19 extracted on 27/03/2020</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93f33efcf3043f3">
              <w:r>
                <w:rPr>
                  <w:rStyle w:val="Hyperlink"/>
                </w:rPr>
                <w:t xml:space="preserve">Pharmaceutical Benefits Scheme (PBS) prescription—date of supply, DDMMYYYY</w:t>
              </w:r>
            </w:hyperlink>
          </w:p>
          <w:p>
            <w:r>
              <w:rPr>
                <w:rStyle w:val="row-content"/>
                <w:b/>
              </w:rPr>
              <w:t xml:space="preserve">Data Source</w:t>
            </w:r>
          </w:p>
          <w:p>
            <w:hyperlink w:history="true" r:id="R60e3cb1eeea64847">
              <w:r>
                <w:rPr>
                  <w:rStyle w:val="Hyperlink"/>
                </w:rPr>
                <w:t xml:space="preserve">Pharmaceutical Benefits Scheme (PBS) data</w:t>
              </w:r>
            </w:hyperlink>
          </w:p>
          <w:p>
            <w:r>
              <w:rPr>
                <w:rStyle w:val="row-content"/>
                <w:b/>
              </w:rPr>
              <w:t xml:space="preserve">Guide for use</w:t>
            </w:r>
          </w:p>
          <w:p>
            <w:r>
              <w:rPr>
                <w:rStyle w:val="row-content"/>
                <w:b/>
              </w:rPr>
              <w:t xml:space="preserve">NMDS / DSS</w:t>
            </w:r>
            <w:r>
              <w:br/>
            </w:r>
            <w:r>
              <w:rPr>
                <w:rStyle w:val="row-content"/>
              </w:rPr>
              <w:t xml:space="preserve">PBS and RPBS data 2018-19 extracted on 27/03/2020</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cb548b6eadf470b">
              <w:r>
                <w:rPr>
                  <w:rStyle w:val="Hyperlink"/>
                </w:rPr>
                <w:t xml:space="preserve">Pharmaceutical Benefits Scheme (PBS) prescription—patient entitlement status (derived), Commonwealth government assistance scheme code AX</w:t>
              </w:r>
            </w:hyperlink>
          </w:p>
          <w:p>
            <w:r>
              <w:rPr>
                <w:rStyle w:val="row-content"/>
                <w:b/>
              </w:rPr>
              <w:t xml:space="preserve">Data Source</w:t>
            </w:r>
          </w:p>
          <w:p>
            <w:hyperlink w:history="true" r:id="R58474fba085141d5">
              <w:r>
                <w:rPr>
                  <w:rStyle w:val="Hyperlink"/>
                </w:rPr>
                <w:t xml:space="preserve">Pharmaceutical Benefits Scheme (PBS) data</w:t>
              </w:r>
            </w:hyperlink>
          </w:p>
          <w:p>
            <w:r>
              <w:rPr>
                <w:rStyle w:val="row-content"/>
                <w:b/>
              </w:rPr>
              <w:t xml:space="preserve">Guide for use</w:t>
            </w:r>
          </w:p>
          <w:p>
            <w:r>
              <w:rPr>
                <w:rStyle w:val="row-content"/>
                <w:b/>
              </w:rPr>
              <w:t xml:space="preserve">NMDS / DSS</w:t>
            </w:r>
            <w:r>
              <w:br/>
            </w:r>
            <w:r>
              <w:rPr>
                <w:rStyle w:val="row-content"/>
              </w:rPr>
              <w:t xml:space="preserve">PBS and RPBS data 2018-19 extracted on 27/03/2020</w:t>
            </w:r>
            <w:r>
              <w:br/>
            </w:r>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 (b), (c)  Total population, 75 years and over, as at 30 June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e4b4d1d6254785">
              <w:r>
                <w:rPr>
                  <w:rStyle w:val="Hyperlink"/>
                </w:rPr>
                <w:t xml:space="preserve">Person—estimated resident population of Australia, total people N[N(7)]</w:t>
              </w:r>
            </w:hyperlink>
          </w:p>
          <w:p>
            <w:r>
              <w:rPr>
                <w:rStyle w:val="row-content"/>
                <w:b/>
              </w:rPr>
              <w:t xml:space="preserve">Data Source</w:t>
            </w:r>
          </w:p>
          <w:p>
            <w:hyperlink w:history="true" r:id="R589be822e9f44600">
              <w:r>
                <w:rPr>
                  <w:rStyle w:val="Hyperlink"/>
                </w:rPr>
                <w:t xml:space="preserve">ABS Australian Demographic Statistics</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0b861a7ea36e49ec">
              <w:r>
                <w:rPr>
                  <w:rStyle w:val="Hyperlink"/>
                </w:rPr>
                <w:t xml:space="preserve">Person—estimated resident population of Australia, total people N[N(7)]</w:t>
              </w:r>
            </w:hyperlink>
          </w:p>
          <w:p>
            <w:r>
              <w:rPr>
                <w:rStyle w:val="row-content"/>
                <w:b/>
              </w:rPr>
              <w:t xml:space="preserve">Data Source</w:t>
            </w:r>
          </w:p>
          <w:p>
            <w:hyperlink w:history="true" r:id="Rf226b067d3df444d">
              <w:r>
                <w:rPr>
                  <w:rStyle w:val="Hyperlink"/>
                </w:rPr>
                <w:t xml:space="preserve">ABS Regional Population by Age and Sex, Australia</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SA3 2016 </w:t>
                  </w:r>
                </w:p>
                <w:p>
                  <w:pPr>
                    <w:spacing w:after="160"/>
                  </w:pPr>
                  <w:r>
                    <w:rPr>
                      <w:rStyle w:val="row-content-rich-text"/>
                    </w:rPr>
                    <w:t xml:space="preserve">Remoteness (ASGS Remoteness structure 2016)  </w:t>
                  </w:r>
                  <w:r>
                    <w:br/>
                  </w:r>
                  <w:r>
                    <w:rPr>
                      <w:rStyle w:val="row-content-rich-text"/>
                    </w:rPr>
                    <w:t xml:space="preserve">Socio-Economic Indexes for Areas (SEIFA 2016) Index of Relative Socioeconomic Disadvantage (IRSD 2016)</w:t>
                  </w:r>
                </w:p>
                <w:p>
                  <w:pPr>
                    <w:spacing w:after="160"/>
                  </w:pPr>
                  <w:r>
                    <w:rPr>
                      <w:rStyle w:val="row-content-rich-text"/>
                    </w:rPr>
                    <w:t xml:space="preserve">Primary Health Network (PHN) 2017 by:</w:t>
                  </w:r>
                </w:p>
                <w:p>
                  <w:pPr>
                    <w:pStyle w:val="ListParagraph"/>
                    <w:numPr>
                      <w:ilvl w:val="0"/>
                      <w:numId w:val="3"/>
                    </w:numPr>
                  </w:pPr>
                  <w:r>
                    <w:rPr>
                      <w:rStyle w:val="row-content-rich-text"/>
                    </w:rPr>
                    <w:t xml:space="preserve">dose category (high, standard, low and all doses)</w:t>
                  </w:r>
                </w:p>
                <w:p>
                  <w:pPr>
                    <w:spacing w:after="160"/>
                  </w:pPr>
                  <w:r>
                    <w:rPr>
                      <w:rStyle w:val="row-content-rich-text"/>
                    </w:rPr>
                    <w:t xml:space="preserve">Updated information on dose category is available at </w:t>
                  </w:r>
                  <w:hyperlink w:history="true" r:id="R64018d7e541f4899">
                    <w:r>
                      <w:rPr>
                        <w:rStyle w:val="Hyperlink"/>
                      </w:rPr>
                      <w:t xml:space="preserve">Proton pump inhibitors PBS changes</w:t>
                    </w:r>
                  </w:hyperlink>
                </w:p>
                <w:p>
                  <w:pPr>
                    <w:spacing w:after="160"/>
                  </w:pPr>
                  <w:r>
                    <w:rPr>
                      <w:rStyle w:val="row-content-rich-text"/>
                    </w:rPr>
                    <w:t xml:space="preserve">State and territory</w:t>
                  </w:r>
                </w:p>
                <w:p>
                  <w:pPr>
                    <w:spacing w:after="160"/>
                  </w:pPr>
                  <w:r>
                    <w:rPr>
                      <w:rStyle w:val="row-content-rich-text"/>
                    </w:rPr>
                    <w:t xml:space="preserve">Australia</w:t>
                  </w:r>
                </w:p>
                <w:p>
                  <w:pPr>
                    <w:pStyle w:val="ListParagraph"/>
                    <w:numPr>
                      <w:ilvl w:val="0"/>
                      <w:numId w:val="4"/>
                    </w:numPr>
                  </w:pPr>
                  <w:r>
                    <w:rPr>
                      <w:rStyle w:val="row-content-rich-text"/>
                    </w:rPr>
                    <w:t xml:space="preserve">number of proton pump inhibitor medicines dispensed, 75 years and over, by month for each dose category</w:t>
                  </w:r>
                </w:p>
                <w:p>
                  <w:pPr>
                    <w:spacing w:after="160"/>
                  </w:pPr>
                  <w:r>
                    <w:rPr>
                      <w:rStyle w:val="row-content-rich-text"/>
                    </w:rPr>
                    <w:t xml:space="preserve">(b)    PHN 2017</w:t>
                  </w:r>
                </w:p>
                <w:p>
                  <w:pPr>
                    <w:spacing w:after="160"/>
                  </w:pPr>
                  <w:r>
                    <w:rPr>
                      <w:rStyle w:val="row-content-rich-text"/>
                    </w:rPr>
                    <w:t xml:space="preserve">State and territory</w:t>
                  </w:r>
                </w:p>
                <w:p>
                  <w:pPr/>
                  <w:r>
                    <w:rPr>
                      <w:rStyle w:val="row-content-rich-text"/>
                    </w:rPr>
                    <w:t xml:space="preserve">(c)    State and Territory</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de64e11e2e4239">
              <w:r>
                <w:rPr>
                  <w:rStyle w:val="Hyperlink"/>
                </w:rPr>
                <w:t xml:space="preserve">Address—Australian postcode, code (Postcode datafile) NNNN</w:t>
              </w:r>
            </w:hyperlink>
          </w:p>
          <w:p>
            <w:r>
              <w:rPr>
                <w:rStyle w:val="row-content"/>
                <w:b/>
              </w:rPr>
              <w:t xml:space="preserve">Data Source</w:t>
            </w:r>
          </w:p>
          <w:p>
            <w:hyperlink w:history="true" r:id="R6943a457ab224ba0">
              <w:r>
                <w:rPr>
                  <w:rStyle w:val="Hyperlink"/>
                </w:rPr>
                <w:t xml:space="preserve">Pharmaceutical Benefits Scheme (PBS) data</w:t>
              </w:r>
            </w:hyperlink>
          </w:p>
          <w:p>
            <w:r>
              <w:rPr>
                <w:rStyle w:val="row-content"/>
                <w:b/>
              </w:rPr>
              <w:t xml:space="preserve">Guide for use</w:t>
            </w:r>
          </w:p>
          <w:p>
            <w:r>
              <w:rPr>
                <w:rStyle w:val="row-content"/>
                <w:b/>
              </w:rPr>
              <w:t xml:space="preserve">NMDS / DSS</w:t>
            </w:r>
            <w:r>
              <w:rPr>
                <w:rStyle w:val="row-content"/>
              </w:rPr>
              <w:t xml:space="preserve"> </w:t>
            </w:r>
            <w:r>
              <w:br/>
            </w:r>
            <w:r>
              <w:rPr>
                <w:rStyle w:val="row-content"/>
              </w:rPr>
              <w:t xml:space="preserve">PBS and RPBS data 2018-19 extracted on 27/03/2020</w:t>
            </w:r>
            <w:r>
              <w:br/>
            </w:r>
            <w:r>
              <w:rPr>
                <w:rStyle w:val="row-content"/>
              </w:rPr>
              <w:t xml:space="preserve">GPO postcodes 2001, 2124, 3001, 4001, 5001, 6843 excluded from the SA3 and PHN level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973fe828000e4b0d">
              <w:r>
                <w:rPr>
                  <w:rStyle w:val="Hyperlink"/>
                </w:rPr>
                <w:t xml:space="preserve">Address—Australian postcode, code (Postcode datafile) NNNN</w:t>
              </w:r>
            </w:hyperlink>
          </w:p>
          <w:p>
            <w:r>
              <w:rPr>
                <w:rStyle w:val="row-content"/>
                <w:b/>
              </w:rPr>
              <w:t xml:space="preserve">Data Source</w:t>
            </w:r>
          </w:p>
          <w:p>
            <w:hyperlink w:history="true" r:id="R21dbe5e7219c441c">
              <w:r>
                <w:rPr>
                  <w:rStyle w:val="Hyperlink"/>
                </w:rPr>
                <w:t xml:space="preserve">Repatriation Pharmaceutical Benefits Scheme (RPBS) data</w:t>
              </w:r>
            </w:hyperlink>
          </w:p>
          <w:p>
            <w:r>
              <w:rPr>
                <w:rStyle w:val="row-content"/>
                <w:b/>
              </w:rPr>
              <w:t xml:space="preserve">Guide for use</w:t>
            </w:r>
          </w:p>
          <w:p>
            <w:r>
              <w:rPr>
                <w:rStyle w:val="row-content"/>
                <w:b/>
              </w:rPr>
              <w:t xml:space="preserve">NMDS / DSS</w:t>
            </w:r>
            <w:r>
              <w:br/>
            </w:r>
            <w:r>
              <w:rPr>
                <w:rStyle w:val="row-content"/>
              </w:rPr>
              <w:t xml:space="preserve">PBS and RPBS data 2018-19 extracted on 27/03/2020 </w:t>
            </w:r>
            <w:r>
              <w:br/>
            </w:r>
            <w:r>
              <w:rPr>
                <w:rStyle w:val="row-content"/>
              </w:rPr>
              <w:t xml:space="preserve">GPO postcodes 2001, 2124, 3001, 4001, 5001, 6843 excluded from the SA3 and PHN level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515b24d322854f27">
              <w:r>
                <w:rPr>
                  <w:rStyle w:val="Hyperlink"/>
                </w:rPr>
                <w:t xml:space="preserve">Address—statistical area, level 3 (SA3) code (ASGS 2016) NNNNN</w:t>
              </w:r>
            </w:hyperlink>
          </w:p>
          <w:p>
            <w:r>
              <w:rPr>
                <w:rStyle w:val="row-content"/>
                <w:b/>
              </w:rPr>
              <w:t xml:space="preserve">Guide for use</w:t>
            </w:r>
          </w:p>
          <w:p>
            <w:r>
              <w:rPr>
                <w:rStyle w:val="row-content"/>
                <w:b/>
              </w:rPr>
              <w:t xml:space="preserve">NMDS / DSS</w:t>
            </w:r>
            <w:r>
              <w:br/>
            </w:r>
            <w:r>
              <w:rPr>
                <w:rStyle w:val="row-content"/>
              </w:rPr>
              <w:t xml:space="preserve">PBS and RPBS data 2018-19 extracted on 27/03/2020 </w:t>
            </w:r>
            <w:r>
              <w:br/>
            </w:r>
            <w:r>
              <w:rPr>
                <w:rStyle w:val="row-content"/>
              </w:rPr>
              <w:t xml:space="preserve">GPO postcodes 2001, 2124, 3001, 4001, 5001, 6843 excluded from the SA3 and PHN level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Unit of measure:</w:t>
            </w:r>
          </w:p>
          <w:p>
            <w:pPr>
              <w:spacing w:after="160"/>
            </w:pPr>
            <w:r>
              <w:rPr>
                <w:rStyle w:val="row-content-rich-text"/>
              </w:rPr>
              <w:t xml:space="preserve">(a) Prescription event (b) People (c) Defined Daily Dose</w:t>
            </w:r>
          </w:p>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c1343d32fee4a63">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890bb95b7164999">
              <w:r>
                <w:rPr>
                  <w:rStyle w:val="Hyperlink"/>
                </w:rPr>
                <w:t xml:space="preserve">Pharmaceutical Benefits Scheme (PBS) data</w:t>
              </w:r>
            </w:hyperlink>
          </w:p>
          <w:p>
            <w:r>
              <w:rPr>
                <w:rStyle w:val="row-content"/>
                <w:b/>
              </w:rPr>
              <w:t xml:space="preserve">Frequency</w:t>
            </w:r>
          </w:p>
          <w:p>
            <w:r>
              <w:rPr>
                <w:rStyle w:val="row-content"/>
              </w:rPr>
              <w:t xml:space="preserve">Daily</w:t>
            </w:r>
          </w:p>
          <w:p>
            <w:r>
              <w:rPr>
                <w:rStyle w:val="row-content"/>
                <w:b/>
              </w:rPr>
              <w:t xml:space="preserve">Data custodian</w:t>
            </w:r>
          </w:p>
          <w:p>
            <w:r>
              <w:rPr>
                <w:rStyle w:val="row-content"/>
              </w:rPr>
              <w:t xml:space="preserve">Australian Government Department of Health</w:t>
            </w:r>
          </w:p>
          <w:p>
            <w:r>
              <w:rPr>
                <w:rStyle w:val="row-content"/>
              </w:rPr>
              <w:t xml:space="preserve"> </w:t>
            </w:r>
          </w:p>
          <w:p>
            <w:r>
              <w:rPr>
                <w:rStyle w:val="row-content"/>
                <w:b/>
                <w:color w:val="000000"/>
              </w:rPr>
              <w:t xml:space="preserve">Data Source</w:t>
            </w:r>
          </w:p>
          <w:p>
            <w:hyperlink w:history="true" r:id="Rcff8e09e2e6a4065">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0acfbd03cf243e9">
              <w:r>
                <w:rPr>
                  <w:rStyle w:val="Hyperlink"/>
                </w:rPr>
                <w:t xml:space="preserve">Repatriation Pharmaceutical Benefits Scheme (RPBS) data</w:t>
              </w:r>
            </w:hyperlink>
          </w:p>
          <w:p>
            <w:r>
              <w:rPr>
                <w:rStyle w:val="row-content"/>
                <w:b/>
              </w:rPr>
              <w:t xml:space="preserve">Frequency</w:t>
            </w:r>
          </w:p>
          <w:p>
            <w:r>
              <w:rPr>
                <w:rStyle w:val="row-content"/>
              </w:rPr>
              <w:t xml:space="preserve">Daily</w:t>
            </w:r>
          </w:p>
          <w:p>
            <w:r>
              <w:rPr>
                <w:rStyle w:val="row-content"/>
                <w:b/>
              </w:rPr>
              <w:t xml:space="preserve">Data custodian</w:t>
            </w:r>
          </w:p>
          <w:p>
            <w:r>
              <w:rPr>
                <w:rStyle w:val="row-content"/>
              </w:rPr>
              <w:t xml:space="preserve">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spacing w:after="160"/>
            </w:pPr>
            <w:r>
              <w:rPr>
                <w:rStyle w:val="row-content-rich-text"/>
              </w:rPr>
              <w:t xml:space="preserve">The Anatomical Therapeutic Chemical (ATC) code is recommended by the World Health Organization (WHO) as an internationally accepted classification for presenting and comparing drug usage data. Since 1982, the WHO Collaborating Centre for Drug Statistics Methodology (WHOCC), located in Norway, has been the central body responsible for coordinating ATC use. Note that the ATC codes used in this specification are from the Australian Department of Health’s version of the WHO ATC classifications, which have some minor differences from the WHO version, based upon a particular drug’s usage in Australia. The Department of Health’s ATC version is available at </w:t>
            </w:r>
            <w:hyperlink w:history="true" r:id="R8914944dab1b4099">
              <w:r>
                <w:rPr>
                  <w:rStyle w:val="Hyperlink"/>
                </w:rPr>
                <w:t xml:space="preserve">Browse by Body System</w:t>
              </w:r>
            </w:hyperlink>
            <w:r>
              <w:rPr>
                <w:rStyle w:val="row-content-rich-text"/>
              </w:rPr>
              <w:t xml:space="preserve">.</w:t>
            </w:r>
          </w:p>
          <w:p>
            <w:pPr>
              <w:spacing w:after="160"/>
            </w:pPr>
            <w:r>
              <w:rPr>
                <w:rStyle w:val="row-content-rich-text"/>
              </w:rPr>
              <w:t xml:space="preserve">Mapping file of PBS drugs to ATC codes is available at the downloadable file</w:t>
            </w:r>
            <w:hyperlink w:history="true" r:id="Rb678bce19aa64d63">
              <w:r>
                <w:rPr>
                  <w:rStyle w:val="Hyperlink"/>
                </w:rPr>
                <w:t xml:space="preserve">Item Code to Drug mapping file</w:t>
              </w:r>
            </w:hyperlink>
            <w:r>
              <w:rPr>
                <w:rStyle w:val="row-content-rich-text"/>
              </w:rPr>
              <w:t xml:space="preserve">. </w:t>
            </w:r>
          </w:p>
          <w:p>
            <w:pPr>
              <w:spacing w:after="160"/>
            </w:pPr>
            <w:r>
              <w:rPr>
                <w:rStyle w:val="row-content-rich-text"/>
              </w:rPr>
              <w:t xml:space="preserve">Medicines purchased over the counter are not in scope.</w:t>
            </w:r>
          </w:p>
          <w:p>
            <w:pPr>
              <w:spacing w:after="160"/>
            </w:pPr>
            <w:r>
              <w:rPr>
                <w:rStyle w:val="row-content-rich-text"/>
              </w:rPr>
              <w:t xml:space="preserve">Further information on DDD/1,000/day is available at</w:t>
            </w:r>
            <w:r>
              <w:rPr>
                <w:rStyle w:val="row-content-rich-text"/>
              </w:rPr>
              <w:t xml:space="preserve"> </w:t>
            </w:r>
            <w:hyperlink w:history="true" r:id="R3972292e7af04e96">
              <w:r>
                <w:rPr>
                  <w:rStyle w:val="Hyperlink"/>
                </w:rPr>
                <w:t xml:space="preserve">WHO DDD Indicators</w:t>
              </w:r>
            </w:hyperlink>
            <w:r>
              <w:rPr>
                <w:rStyle w:val="row-content-rich-text"/>
              </w:rPr>
              <w:t xml:space="preserve">.</w:t>
            </w:r>
          </w:p>
          <w:p>
            <w:pPr/>
            <w:r>
              <w:rPr>
                <w:rStyle w:val="row-content-rich-text"/>
              </w:rPr>
              <w:t xml:space="preserve">DDD amounts are available at the </w:t>
            </w:r>
            <w:hyperlink w:history="true" r:id="R66cbeccba94b49fe">
              <w:r>
                <w:rPr>
                  <w:rStyle w:val="Hyperlink"/>
                </w:rPr>
                <w:t xml:space="preserve">WHOCC - ATC/DDD Index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168ba5c565414d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726379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79141c188247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8ba5c565414d92" /><Relationship Type="http://schemas.openxmlformats.org/officeDocument/2006/relationships/header" Target="/word/header1.xml" Id="Red26d53a508447aa" /><Relationship Type="http://schemas.openxmlformats.org/officeDocument/2006/relationships/settings" Target="/word/settings.xml" Id="Ref657a282f144b24" /><Relationship Type="http://schemas.openxmlformats.org/officeDocument/2006/relationships/styles" Target="/word/styles.xml" Id="R79653a5b6b9a409c" /><Relationship Type="http://schemas.openxmlformats.org/officeDocument/2006/relationships/numbering" Target="/word/numbering.xml" Id="R76ba76cec16b472e" /><Relationship Type="http://schemas.openxmlformats.org/officeDocument/2006/relationships/hyperlink" Target="https://meteor-uat.aihw.gov.au/RegistrationAuthority/2" TargetMode="External" Id="Rcdae99f095784a16" /><Relationship Type="http://schemas.openxmlformats.org/officeDocument/2006/relationships/hyperlink" Target="https://meteor-uat.aihw.gov.au/content/723541" TargetMode="External" Id="Rf0fbb874f2514572" /><Relationship Type="http://schemas.openxmlformats.org/officeDocument/2006/relationships/hyperlink" Target="https://meteor-uat.aihw.gov.au/RegistrationAuthority/2" TargetMode="External" Id="Rb4afec030fe747d6" /><Relationship Type="http://schemas.openxmlformats.org/officeDocument/2006/relationships/hyperlink" Target="https://meteor-uat.aihw.gov.au/content/327276" TargetMode="External" Id="R951b4ebe72dc4b29" /><Relationship Type="http://schemas.openxmlformats.org/officeDocument/2006/relationships/hyperlink" Target="https://safetyandquality.gov.au/publications-and-resources/resource-library/fourth-atlas-2021-technical-supplement" TargetMode="External" Id="R80648d7385394363" /><Relationship Type="http://schemas.openxmlformats.org/officeDocument/2006/relationships/hyperlink" Target="https://meteor-uat.aihw.gov.au/content/724386" TargetMode="External" Id="R281be72b22ee4888" /><Relationship Type="http://schemas.openxmlformats.org/officeDocument/2006/relationships/hyperlink" Target="https://meteor-uat.aihw.gov.au/content/724386" TargetMode="External" Id="Rb181b15bee044a23" /><Relationship Type="http://schemas.openxmlformats.org/officeDocument/2006/relationships/hyperlink" Target="https://meteor-uat.aihw.gov.au/content/287007" TargetMode="External" Id="Rea88396cbeb74bc1" /><Relationship Type="http://schemas.openxmlformats.org/officeDocument/2006/relationships/hyperlink" Target="https://meteor-uat.aihw.gov.au/content/724386" TargetMode="External" Id="Rf28dec2ece964111" /><Relationship Type="http://schemas.openxmlformats.org/officeDocument/2006/relationships/hyperlink" Target="https://meteor-uat.aihw.gov.au/content/601236" TargetMode="External" Id="R765529b49527441f" /><Relationship Type="http://schemas.openxmlformats.org/officeDocument/2006/relationships/hyperlink" Target="https://meteor-uat.aihw.gov.au/content/724386" TargetMode="External" Id="R4194af40923248e3" /><Relationship Type="http://schemas.openxmlformats.org/officeDocument/2006/relationships/hyperlink" Target="https://meteor-uat.aihw.gov.au/content/601876" TargetMode="External" Id="Rd3a4fb7357094ac0" /><Relationship Type="http://schemas.openxmlformats.org/officeDocument/2006/relationships/hyperlink" Target="https://meteor-uat.aihw.gov.au/content/724386" TargetMode="External" Id="R5548724601414b9f" /><Relationship Type="http://schemas.openxmlformats.org/officeDocument/2006/relationships/hyperlink" Target="https://meteor-uat.aihw.gov.au/content/602450" TargetMode="External" Id="R249bf3d208204754" /><Relationship Type="http://schemas.openxmlformats.org/officeDocument/2006/relationships/hyperlink" Target="https://meteor-uat.aihw.gov.au/content/724386" TargetMode="External" Id="Rbbe116533cf748ca" /><Relationship Type="http://schemas.openxmlformats.org/officeDocument/2006/relationships/hyperlink" Target="https://meteor-uat.aihw.gov.au/content/602767" TargetMode="External" Id="Re93f33efcf3043f3" /><Relationship Type="http://schemas.openxmlformats.org/officeDocument/2006/relationships/hyperlink" Target="https://meteor-uat.aihw.gov.au/content/724386" TargetMode="External" Id="R60e3cb1eeea64847" /><Relationship Type="http://schemas.openxmlformats.org/officeDocument/2006/relationships/hyperlink" Target="https://meteor-uat.aihw.gov.au/content/604103" TargetMode="External" Id="Rbcb548b6eadf470b" /><Relationship Type="http://schemas.openxmlformats.org/officeDocument/2006/relationships/hyperlink" Target="https://meteor-uat.aihw.gov.au/content/724386" TargetMode="External" Id="R58474fba085141d5" /><Relationship Type="http://schemas.openxmlformats.org/officeDocument/2006/relationships/hyperlink" Target="https://meteor-uat.aihw.gov.au/content/388656" TargetMode="External" Id="Rd1e4b4d1d6254785" /><Relationship Type="http://schemas.openxmlformats.org/officeDocument/2006/relationships/hyperlink" Target="https://meteor-uat.aihw.gov.au/content/657459" TargetMode="External" Id="R589be822e9f44600" /><Relationship Type="http://schemas.openxmlformats.org/officeDocument/2006/relationships/hyperlink" Target="https://meteor-uat.aihw.gov.au/content/388656" TargetMode="External" Id="R0b861a7ea36e49ec" /><Relationship Type="http://schemas.openxmlformats.org/officeDocument/2006/relationships/hyperlink" Target="https://meteor-uat.aihw.gov.au/content/724384" TargetMode="External" Id="Rf226b067d3df444d" /><Relationship Type="http://schemas.openxmlformats.org/officeDocument/2006/relationships/hyperlink" Target="https://www.nps.org.au/radar/articles/proton-pump-inhibitors-pbs-changes-may-2019" TargetMode="External" Id="R64018d7e541f4899" /><Relationship Type="http://schemas.openxmlformats.org/officeDocument/2006/relationships/hyperlink" Target="https://meteor-uat.aihw.gov.au/content/611398" TargetMode="External" Id="R1fde64e11e2e4239" /><Relationship Type="http://schemas.openxmlformats.org/officeDocument/2006/relationships/hyperlink" Target="https://meteor-uat.aihw.gov.au/content/724386" TargetMode="External" Id="R6943a457ab224ba0" /><Relationship Type="http://schemas.openxmlformats.org/officeDocument/2006/relationships/hyperlink" Target="https://meteor-uat.aihw.gov.au/content/611398" TargetMode="External" Id="R973fe828000e4b0d" /><Relationship Type="http://schemas.openxmlformats.org/officeDocument/2006/relationships/hyperlink" Target="https://meteor-uat.aihw.gov.au/content/724388" TargetMode="External" Id="R21dbe5e7219c441c" /><Relationship Type="http://schemas.openxmlformats.org/officeDocument/2006/relationships/hyperlink" Target="https://meteor-uat.aihw.gov.au/content/723561" TargetMode="External" Id="R515b24d322854f27" /><Relationship Type="http://schemas.openxmlformats.org/officeDocument/2006/relationships/hyperlink" Target="https://meteor-uat.aihw.gov.au/content/657459" TargetMode="External" Id="Rbc1343d32fee4a63" /><Relationship Type="http://schemas.openxmlformats.org/officeDocument/2006/relationships/hyperlink" Target="https://meteor-uat.aihw.gov.au/content/724386" TargetMode="External" Id="Rb890bb95b7164999" /><Relationship Type="http://schemas.openxmlformats.org/officeDocument/2006/relationships/hyperlink" Target="https://meteor-uat.aihw.gov.au/content/724384" TargetMode="External" Id="Rcff8e09e2e6a4065" /><Relationship Type="http://schemas.openxmlformats.org/officeDocument/2006/relationships/hyperlink" Target="https://meteor-uat.aihw.gov.au/content/724388" TargetMode="External" Id="R30acfbd03cf243e9" /><Relationship Type="http://schemas.openxmlformats.org/officeDocument/2006/relationships/hyperlink" Target="http://www.pbs.gov.au/browse/body-system" TargetMode="External" Id="R8914944dab1b4099" /><Relationship Type="http://schemas.openxmlformats.org/officeDocument/2006/relationships/hyperlink" Target="http://www.pbs.gov.au/info/statistics/dos-and-dop/dos-and-dop" TargetMode="External" Id="Rb678bce19aa64d63" /><Relationship Type="http://schemas.openxmlformats.org/officeDocument/2006/relationships/hyperlink" Target="https://www.who.int/medicines/regulation/medicines-safety/toolkit_indicators/en/" TargetMode="External" Id="R3972292e7af04e96" /><Relationship Type="http://schemas.openxmlformats.org/officeDocument/2006/relationships/hyperlink" Target="https://www.whocc.no/atc_ddd_index/" TargetMode="External" Id="R66cbeccba94b49fe" /></Relationships>
</file>

<file path=word/_rels/header1.xml.rels>&#65279;<?xml version="1.0" encoding="utf-8"?><Relationships xmlns="http://schemas.openxmlformats.org/package/2006/relationships"><Relationship Type="http://schemas.openxmlformats.org/officeDocument/2006/relationships/image" Target="/media/image.png" Id="Rc979141c1882472c" /></Relationships>
</file>