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977af89fc46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5aadf9b7b4aa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e8e6ce1ceab04e1f">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Aboriginal and Torres Strait Islander Health Survey: 2018-19 (ABS 2019) and National Health Survey: First Results, 2017-18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686ec9b8bb214eba">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1abea1bc36b84e5a">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8ba4cb7333bd4815">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04dc95a546a14362">
              <w:r>
                <w:rPr>
                  <w:rStyle w:val="Hyperlink"/>
                  <w:i/>
                </w:rPr>
                <w:t xml:space="preserve">Household Income and Wealth, Australia, 2017-18</w:t>
              </w:r>
            </w:hyperlink>
            <w:r>
              <w:rPr>
                <w:rStyle w:val="row-content-rich-text"/>
              </w:rPr>
              <w:t xml:space="preserve">(ABS 2018c)</w:t>
            </w:r>
          </w:p>
          <w:p>
            <w:pPr>
              <w:pStyle w:val="ListParagraph"/>
              <w:numPr>
                <w:ilvl w:val="0"/>
                <w:numId w:val="2"/>
              </w:numPr>
            </w:pPr>
            <w:hyperlink w:history="true" r:id="R8c3357a459174332">
              <w:r>
                <w:rPr>
                  <w:rStyle w:val="Hyperlink"/>
                  <w:i/>
                </w:rPr>
                <w:t xml:space="preserve">Survey of Income and Housing, User Guide, Australia, 2017-18</w:t>
              </w:r>
            </w:hyperlink>
            <w:r>
              <w:rPr>
                <w:rStyle w:val="row-content-rich-text"/>
              </w:rPr>
              <w:t xml:space="preserve">(ABS 2018d)</w:t>
            </w:r>
          </w:p>
          <w:p>
            <w:pPr>
              <w:pStyle w:val="ListParagraph"/>
              <w:numPr>
                <w:ilvl w:val="0"/>
                <w:numId w:val="2"/>
              </w:numPr>
            </w:pPr>
            <w:hyperlink w:history="true" r:id="Rf3f7b0cd8b1447be">
              <w:r>
                <w:rPr>
                  <w:rStyle w:val="Hyperlink"/>
                  <w:i/>
                </w:rPr>
                <w:t xml:space="preserve">National Health Survey: First Results, 2017-18</w:t>
              </w:r>
            </w:hyperlink>
            <w:r>
              <w:rPr>
                <w:rStyle w:val="row-content-rich-text"/>
              </w:rPr>
              <w:t xml:space="preserve">(ABS 2018a)</w:t>
            </w:r>
          </w:p>
          <w:p>
            <w:pPr>
              <w:pStyle w:val="ListParagraph"/>
              <w:numPr>
                <w:ilvl w:val="0"/>
                <w:numId w:val="2"/>
              </w:numPr>
            </w:pPr>
            <w:hyperlink w:history="true" r:id="R91eb354f6ab4448c">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self-reported information on alcohol consumption from persons aged 15 years and over.</w:t>
            </w:r>
          </w:p>
          <w:p>
            <w:pPr>
              <w:spacing w:after="160"/>
            </w:pPr>
            <w:r>
              <w:rPr>
                <w:rStyle w:val="row-content-rich-text"/>
              </w:rPr>
              <w:t xml:space="preserve">In the 2018-19 NATSIHS and 2017-18 NHS, lifetime risk (2009 National Health and Medical Research Council (NHMRC) guidelines) was assessed using average daily intake of alcohol. This was derived from the type, brand, number and serving sizes of beverages consumed on the three most recent days of the week prior to interview, and the total number of days alcohol was consumed over the same period. The following formula for average daily amount of alcohol consumed (that is, an average over the 7 days of the reference week) was used:</w:t>
            </w:r>
          </w:p>
          <w:p>
            <w:pPr>
              <w:spacing w:after="160"/>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4"/>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 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spacing w:after="160"/>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NHS collected a range of other health-related information that can be analysed in conjunction with alcohol risk level.</w:t>
            </w:r>
          </w:p>
          <w:p>
            <w:pPr/>
            <w:r>
              <w:rPr>
                <w:rStyle w:val="row-content-rich-text"/>
              </w:rPr>
              <w:t xml:space="preserve">Other collections, such as the National Drug Strategy Household Survey (NDSHS), report against the same NHMRC guidelines. Results from the most recent NDSHS in 2016 show slightly different estimates for long-term harm from alcohol than in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 National Health Survey: First Results, 2017–18. ABS Cat. no. 4363.0.55.001.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a0a623f78b4cc4">
              <w:r>
                <w:rPr>
                  <w:rStyle w:val="Hyperlink"/>
                </w:rPr>
                <w:t xml:space="preserve">National Indigenous Reform Agreement: PI 04-Levels of risky alcohol consumption, 2019; Quality Statement</w:t>
              </w:r>
            </w:hyperlink>
          </w:p>
          <w:p>
            <w:pPr>
              <w:pStyle w:val="registration-status"/>
              <w:spacing w:before="0" w:after="0"/>
            </w:pPr>
            <w:hyperlink w:history="true" r:id="R0a2a37d3918e4503">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32a85d24e4a462c">
              <w:r>
                <w:rPr>
                  <w:rStyle w:val="Hyperlink"/>
                </w:rPr>
                <w:t xml:space="preserve">National Indigenous Reform Agreement: PI 04-Levels of risky alcohol consumption, 2020</w:t>
              </w:r>
            </w:hyperlink>
          </w:p>
          <w:p>
            <w:pPr>
              <w:pStyle w:val="registration-status"/>
              <w:spacing w:before="0" w:after="0"/>
            </w:pPr>
            <w:hyperlink w:history="true" r:id="R552d3a555fd8420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12e3af7bbe7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bedbcb70b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e3af7bbe7445d" /><Relationship Type="http://schemas.openxmlformats.org/officeDocument/2006/relationships/header" Target="/word/header1.xml" Id="Rbeee922b4a5c4a27" /><Relationship Type="http://schemas.openxmlformats.org/officeDocument/2006/relationships/settings" Target="/word/settings.xml" Id="R33bc3fd200f4427f" /><Relationship Type="http://schemas.openxmlformats.org/officeDocument/2006/relationships/styles" Target="/word/styles.xml" Id="R8b9d5d5a4746483d" /><Relationship Type="http://schemas.openxmlformats.org/officeDocument/2006/relationships/numbering" Target="/word/numbering.xml" Id="Rfeea55aead6f4f34" /><Relationship Type="http://schemas.openxmlformats.org/officeDocument/2006/relationships/hyperlink" Target="https://meteor-uat.aihw.gov.au/RegistrationAuthority/9" TargetMode="External" Id="R2405aadf9b7b4aae" /><Relationship Type="http://schemas.openxmlformats.org/officeDocument/2006/relationships/hyperlink" Target="http://www.abs.gov.au/websitedbs/D3310114.nsf/4a256353001af3ed4b2562bb00121564/10ca14cb967e5b83ca2573ae00197b65!OpenDocument" TargetMode="External" Id="Re8e6ce1ceab04e1f" /><Relationship Type="http://schemas.openxmlformats.org/officeDocument/2006/relationships/hyperlink" Target="https://www.abs.gov.au/websitedbs/d3310114.nsf/home/microdata+entry+page" TargetMode="External" Id="R686ec9b8bb214eba" /><Relationship Type="http://schemas.openxmlformats.org/officeDocument/2006/relationships/hyperlink" Target="http://www.abs.gov.au/contact" TargetMode="External" Id="R1abea1bc36b84e5a" /><Relationship Type="http://schemas.openxmlformats.org/officeDocument/2006/relationships/hyperlink" Target="https://www.abs.gov.au/ausstats/abs@.nsf/mf/4715.0" TargetMode="External" Id="R8ba4cb7333bd4815" /><Relationship Type="http://schemas.openxmlformats.org/officeDocument/2006/relationships/hyperlink" Target="https://www.abs.gov.au/ausstats/abs@.nsf/mf/6523.0" TargetMode="External" Id="R04dc95a546a14362" /><Relationship Type="http://schemas.openxmlformats.org/officeDocument/2006/relationships/hyperlink" Target="https://www.abs.gov.au/ausstats/abs@.nsf/mf/6553.0" TargetMode="External" Id="R8c3357a459174332" /><Relationship Type="http://schemas.openxmlformats.org/officeDocument/2006/relationships/hyperlink" Target="https://www.abs.gov.au/ausstats/abs@.nsf/mf/4364.0.55.001" TargetMode="External" Id="Rf3f7b0cd8b1447be" /><Relationship Type="http://schemas.openxmlformats.org/officeDocument/2006/relationships/hyperlink" Target="https://www.abs.gov.au/ausstats/abs@.nsf/mf/4363.0" TargetMode="External" Id="R91eb354f6ab4448c" /><Relationship Type="http://schemas.openxmlformats.org/officeDocument/2006/relationships/hyperlink" Target="https://meteor-uat.aihw.gov.au/content/711065" TargetMode="External" Id="R40a0a623f78b4cc4" /><Relationship Type="http://schemas.openxmlformats.org/officeDocument/2006/relationships/hyperlink" Target="https://meteor-uat.aihw.gov.au/RegistrationAuthority/9" TargetMode="External" Id="R0a2a37d3918e4503" /><Relationship Type="http://schemas.openxmlformats.org/officeDocument/2006/relationships/hyperlink" Target="https://meteor-uat.aihw.gov.au/content/718478" TargetMode="External" Id="R432a85d24e4a462c" /><Relationship Type="http://schemas.openxmlformats.org/officeDocument/2006/relationships/hyperlink" Target="https://meteor-uat.aihw.gov.au/RegistrationAuthority/9" TargetMode="External" Id="R552d3a555fd8420a" /></Relationships>
</file>

<file path=word/_rels/header1.xml.rels>&#65279;<?xml version="1.0" encoding="utf-8"?><Relationships xmlns="http://schemas.openxmlformats.org/package/2006/relationships"><Relationship Type="http://schemas.openxmlformats.org/officeDocument/2006/relationships/image" Target="/media/image.png" Id="R02dbedbcb70b4196" /></Relationships>
</file>