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b1fd8dcdab84e33"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15 – Seclusion rate, 2020–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15 – Seclusion rate, 2020–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15: Seclusion rate, 2020–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304c33a3284d5b">
              <w:r>
                <w:rPr>
                  <w:rStyle w:val="Hyperlink"/>
                  <w:color w:val="244061"/>
                </w:rPr>
                <w:t xml:space="preserve">Health!</w:t>
              </w:r>
            </w:hyperlink>
            <w:r>
              <w:rPr>
                <w:rStyle w:val="row-content"/>
                <w:color w:val="244061"/>
              </w:rPr>
              <w:t xml:space="preserve">, Standard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seclusion events per 1,000 patient days within a mental health service organisation.</w:t>
            </w:r>
          </w:p>
          <w:p>
            <w:pPr/>
            <w:r>
              <w:rPr>
                <w:rStyle w:val="row-content-rich-text"/>
                <w:b/>
              </w:rPr>
              <w:t xml:space="preserve">NOTE:</w:t>
            </w:r>
            <w:r>
              <w:rPr>
                <w:rStyle w:val="row-content-rich-text"/>
              </w:rPr>
              <w:t xml:space="preserve"> This indicator is related to </w:t>
            </w:r>
            <w:r>
              <w:rPr>
                <w:rStyle w:val="row-content-rich-text"/>
                <w:i/>
              </w:rPr>
              <w:t xml:space="preserve">Seclusion rate (Jurisdictional </w:t>
            </w:r>
            <w:r>
              <w:rPr>
                <w:rStyle w:val="row-content-rich-text"/>
              </w:rPr>
              <w:t xml:space="preserve">level). There are technical differences in the scope of services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reduction, and where possible, elimination of seclusion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 (NMHWG 2005).</w:t>
            </w:r>
          </w:p>
          <w:p>
            <w:pPr>
              <w:pStyle w:val="ListParagraph"/>
              <w:numPr>
                <w:ilvl w:val="0"/>
                <w:numId w:val="2"/>
              </w:numPr>
            </w:pPr>
            <w:r>
              <w:rPr>
                <w:rStyle w:val="row-content-rich-text"/>
              </w:rPr>
              <w:t xml:space="preserve">High levels of seclusion are widely regarded as inappropriate treatment,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seclusion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5dcd2b7521b4b5c">
              <w:r>
                <w:rPr>
                  <w:rStyle w:val="Hyperlink"/>
                </w:rPr>
                <w:t xml:space="preserve">Key Performance Indicators for Australian Public Mental Health Services (Service level version) (2020–)</w:t>
              </w:r>
            </w:hyperlink>
          </w:p>
          <w:p>
            <w:pPr>
              <w:pStyle w:val="registration-status"/>
              <w:spacing w:before="0" w:after="0"/>
            </w:pPr>
            <w:hyperlink w:history="true" r:id="R39b12ee23a004412">
              <w:r>
                <w:rPr>
                  <w:rStyle w:val="Hyperlink"/>
                  <w:color w:val="244061"/>
                </w:rPr>
                <w:t xml:space="preserve">Health!</w:t>
              </w:r>
            </w:hyperlink>
            <w:r>
              <w:rPr>
                <w:rStyle w:val="row-content"/>
                <w:color w:val="244061"/>
              </w:rPr>
              <w:t xml:space="preserve">, Standard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admitted patient services.</w:t>
            </w:r>
          </w:p>
          <w:p>
            <w:pPr>
              <w:spacing w:after="160"/>
            </w:pPr>
            <w:r>
              <w:rPr>
                <w:rStyle w:val="row-content-rich-text"/>
              </w:rPr>
              <w:t xml:space="preserve">Methodology:</w:t>
            </w:r>
          </w:p>
          <w:p>
            <w:pPr>
              <w:pStyle w:val="ListParagraph"/>
              <w:numPr>
                <w:ilvl w:val="0"/>
                <w:numId w:val="3"/>
              </w:numPr>
            </w:pPr>
            <w:r>
              <w:rPr>
                <w:rStyle w:val="row-content-rich-text"/>
              </w:rPr>
              <w:t xml:space="preserve">This indicator is to be partitioned by the program type (i.e. acute and non-acute inpatient). Consequently, there would be two potential scores for this indicator. This partitioning will enable appropriate interpretation of the indicator and concept and facilitate accurate and targeted action to reduce the use of seclusion in mental health services.</w:t>
            </w:r>
          </w:p>
          <w:p>
            <w:pPr>
              <w:pStyle w:val="ListParagraph"/>
              <w:numPr>
                <w:ilvl w:val="0"/>
                <w:numId w:val="3"/>
              </w:numPr>
            </w:pPr>
            <w:r>
              <w:rPr>
                <w:rStyle w:val="row-content-rich-text"/>
              </w:rPr>
              <w:t xml:space="preserve">Leave days should be excluded from the construction of the denominator.</w:t>
            </w:r>
          </w:p>
          <w:p>
            <w:pPr>
              <w:pStyle w:val="ListParagraph"/>
              <w:numPr>
                <w:ilvl w:val="0"/>
                <w:numId w:val="3"/>
              </w:numPr>
            </w:pPr>
            <w:r>
              <w:rPr>
                <w:rStyle w:val="row-content-rich-text"/>
              </w:rPr>
              <w:t xml:space="preserve">For the purpose of this indicator, when a mental health service organisation has more than one unit of a particular admitted patient care program, those units should be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seclusion events occurring in the mental health service organisation’s inpatient unit(s) during the reference period, partitioned by acute and non-acute inpatient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accrued mental health care days within the mental health service organisation’s inpatient unit(s) during the reference period, partitioned by acute and non-acute inpatient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program type.</w:t>
            </w:r>
          </w:p>
          <w:p>
            <w:pPr/>
            <w:r>
              <w:rPr>
                <w:rStyle w:val="row-content-rich-text"/>
              </w:rPr>
              <w:t xml:space="preserve">Consumer attributes: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cd1403c87914bfb">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4"/>
              </w:numPr>
            </w:pPr>
            <w:r>
              <w:rPr>
                <w:rStyle w:val="row-content-rich-text"/>
              </w:rPr>
              <w:t xml:space="preserve">service unit</w:t>
            </w:r>
          </w:p>
          <w:p>
            <w:pPr>
              <w:pStyle w:val="ListParagraph"/>
              <w:numPr>
                <w:ilvl w:val="0"/>
                <w:numId w:val="4"/>
              </w:numPr>
            </w:pPr>
            <w:r>
              <w:rPr>
                <w:rStyle w:val="row-content-rich-text"/>
              </w:rPr>
              <w:t xml:space="preserve">mental health service organisation</w:t>
            </w:r>
          </w:p>
          <w:p>
            <w:pPr>
              <w:pStyle w:val="ListParagraph"/>
              <w:numPr>
                <w:ilvl w:val="0"/>
                <w:numId w:val="4"/>
              </w:numPr>
            </w:pPr>
            <w:r>
              <w:rPr>
                <w:rStyle w:val="row-content-rich-text"/>
              </w:rPr>
              <w:t xml:space="preserve">regional group of services</w:t>
            </w:r>
          </w:p>
          <w:p>
            <w:pPr>
              <w:pStyle w:val="ListParagraph"/>
              <w:numPr>
                <w:ilvl w:val="0"/>
                <w:numId w:val="4"/>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seclusion data at the national level occurs via the SECREST NBEDS, a data collection under the governance of the Safety and Quality Partnership Standing Committee (SQPSC), a subcommittee, of the Mental Health Principal Committee.</w:t>
            </w:r>
          </w:p>
          <w:p>
            <w:pPr/>
            <w:r>
              <w:rPr>
                <w:rStyle w:val="row-content-rich-text"/>
              </w:rPr>
              <w:t xml:space="preserve">Data on the characteristics of the consumers subject to seclusion is not currently available. Data development activity to expand the SECREST NBEDS to include consumer demographic information is under consideration by the Mental Health Information Strategy Standing Committee and SQPSC.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The use of seclusion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5"/>
              </w:numPr>
            </w:pPr>
            <w:r>
              <w:rPr>
                <w:rStyle w:val="row-content-rich-text"/>
              </w:rPr>
              <w:t xml:space="preserve">The duration of seclusion is an essential piece of information to align with an indicator of the rate or frequency of seclusion as it provides a better understanding of an organisation’s performance in relation to seclusion use and management. However, the capacity to collect information regarding duration of seclusion episodes varies substantially across jurisdictions. Work continues at a national level that will facilitate the development of a meaningful indicator of duration as it is likely to be easily skewed by outliers.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(NMHPSC) 2013. Key Performance Indicators for Australian Public Mental Health Services, 3rd edn. Canberra: NMHPSC.</w:t>
            </w:r>
          </w:p>
          <w:p>
            <w:pPr/>
            <w:r>
              <w:rPr>
                <w:rStyle w:val="row-content-rich-text"/>
              </w:rPr>
              <w:t xml:space="preserve">National Mental Health Working Group (NMHWG) 2005. National safety priorities in mental health: a national plan for reducing harm. Health Priorities and Suicide Prevention Branch, Department of Health and Ageing, Canberra: Commonwealth of Australia.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ece2567c1b4be8">
              <w:r>
                <w:rPr>
                  <w:rStyle w:val="Hyperlink"/>
                </w:rPr>
                <w:t xml:space="preserve">KPIs for Australian Public Mental Health Services: PI 15 – Seclusion rate, 2019 (Service level)</w:t>
              </w:r>
            </w:hyperlink>
          </w:p>
          <w:p>
            <w:pPr>
              <w:pStyle w:val="registration-status"/>
              <w:spacing w:before="0" w:after="0"/>
            </w:pPr>
            <w:hyperlink w:history="true" r:id="R13b1c3aac15b4ba3">
              <w:r>
                <w:rPr>
                  <w:rStyle w:val="Hyperlink"/>
                  <w:color w:val="244061"/>
                </w:rPr>
                <w:t xml:space="preserve">Health!</w:t>
              </w:r>
            </w:hyperlink>
            <w:r>
              <w:rPr>
                <w:rStyle w:val="row-content"/>
                <w:color w:val="244061"/>
              </w:rPr>
              <w:t xml:space="preserve">, Superseded 16/02/2021</w:t>
            </w:r>
          </w:p>
          <w:p>
            <w:r>
              <w:br/>
            </w:r>
            <w:r>
              <w:rPr>
                <w:rStyle w:val="row-content"/>
              </w:rPr>
              <w:t xml:space="preserve">Has been superseded by </w:t>
            </w:r>
            <w:hyperlink w:history="true" r:id="Rd590b20b0b7a4c91">
              <w:r>
                <w:rPr>
                  <w:rStyle w:val="Hyperlink"/>
                </w:rPr>
                <w:t xml:space="preserve">KPIs for Australian Public Mental Health Services: PI 15 – Seclusion rate, 2021– (Service level)</w:t>
              </w:r>
            </w:hyperlink>
          </w:p>
          <w:p>
            <w:pPr>
              <w:pStyle w:val="registration-status"/>
              <w:spacing w:before="0" w:after="0"/>
            </w:pPr>
            <w:hyperlink w:history="true" r:id="Rbf20b3ce0f6c4567">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21bfc91fedad48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725538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db5708e7474b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bfc91fedad484a" /><Relationship Type="http://schemas.openxmlformats.org/officeDocument/2006/relationships/header" Target="/word/header1.xml" Id="R64565c043a6e427e" /><Relationship Type="http://schemas.openxmlformats.org/officeDocument/2006/relationships/settings" Target="/word/settings.xml" Id="R6eef7132ee9445dc" /><Relationship Type="http://schemas.openxmlformats.org/officeDocument/2006/relationships/styles" Target="/word/styles.xml" Id="R070eba3d460f444f" /><Relationship Type="http://schemas.openxmlformats.org/officeDocument/2006/relationships/numbering" Target="/word/numbering.xml" Id="R278dfc0647e14ac6" /><Relationship Type="http://schemas.openxmlformats.org/officeDocument/2006/relationships/hyperlink" Target="https://meteor-uat.aihw.gov.au/RegistrationAuthority/14" TargetMode="External" Id="R91304c33a3284d5b" /><Relationship Type="http://schemas.openxmlformats.org/officeDocument/2006/relationships/hyperlink" Target="https://meteor-uat.aihw.gov.au/content/720490" TargetMode="External" Id="R35dcd2b7521b4b5c" /><Relationship Type="http://schemas.openxmlformats.org/officeDocument/2006/relationships/hyperlink" Target="https://meteor-uat.aihw.gov.au/RegistrationAuthority/14" TargetMode="External" Id="R39b12ee23a004412" /><Relationship Type="http://schemas.openxmlformats.org/officeDocument/2006/relationships/hyperlink" Target="https://meteor-uat.aihw.gov.au/content/721197" TargetMode="External" Id="R9cd1403c87914bfb" /><Relationship Type="http://schemas.openxmlformats.org/officeDocument/2006/relationships/hyperlink" Target="https://meteor-uat.aihw.gov.au/content/712110" TargetMode="External" Id="R19ece2567c1b4be8" /><Relationship Type="http://schemas.openxmlformats.org/officeDocument/2006/relationships/hyperlink" Target="https://meteor-uat.aihw.gov.au/RegistrationAuthority/14" TargetMode="External" Id="R13b1c3aac15b4ba3" /><Relationship Type="http://schemas.openxmlformats.org/officeDocument/2006/relationships/hyperlink" Target="https://meteor-uat.aihw.gov.au/content/742491" TargetMode="External" Id="Rd590b20b0b7a4c91" /><Relationship Type="http://schemas.openxmlformats.org/officeDocument/2006/relationships/hyperlink" Target="https://meteor-uat.aihw.gov.au/RegistrationAuthority/14" TargetMode="External" Id="Rbf20b3ce0f6c4567" /></Relationships>
</file>

<file path=word/_rels/header1.xml.rels>&#65279;<?xml version="1.0" encoding="utf-8"?><Relationships xmlns="http://schemas.openxmlformats.org/package/2006/relationships"><Relationship Type="http://schemas.openxmlformats.org/officeDocument/2006/relationships/image" Target="/media/image.png" Id="Rf6db5708e7474b5a" /></Relationships>
</file>