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490a26ab8d463d"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b00b6ede34067">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7ae313e5c3f4fd5">
              <w:r>
                <w:rPr>
                  <w:rStyle w:val="Hyperlink"/>
                  <w:i/>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d965487d8bff499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6f4da1ce39347fa">
              <w:r>
                <w:rPr>
                  <w:rStyle w:val="Hyperlink"/>
                </w:rPr>
                <w:t xml:space="preserve">AIHW Act</w:t>
              </w:r>
            </w:hyperlink>
            <w:r>
              <w:rPr>
                <w:rStyle w:val="row-content-rich-text"/>
              </w:rPr>
              <w:t xml:space="preserve">, in conjunction with compliance to the </w:t>
            </w:r>
            <w:hyperlink w:history="true" r:id="R930a63c186af4f3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845119dadac34473">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f4eb3ae3d2cf41e6">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w:t>
            </w:r>
            <w:r>
              <w:rPr>
                <w:rStyle w:val="row-content-rich-text"/>
                <w:i/>
              </w:rPr>
              <w:t xml:space="preserve">Australian Hospital Statistics: Admitted Patient Care</w:t>
            </w:r>
            <w:r>
              <w:rPr>
                <w:rStyle w:val="row-content-rich-text"/>
              </w:rPr>
              <w:t xml:space="preserv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668778f64e394766">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fcc159d8dc744d36">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08bc0bea17344b38">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f19f48a4bc874560">
              <w:r>
                <w:rPr>
                  <w:rStyle w:val="Hyperlink"/>
                </w:rPr>
                <w:t xml:space="preserve">METeOR</w:t>
              </w:r>
            </w:hyperlink>
            <w:r>
              <w:rPr>
                <w:rStyle w:val="row-content-rich-text"/>
              </w:rPr>
              <w:t xml:space="preserve">, and the </w:t>
            </w:r>
            <w:hyperlink w:history="true" r:id="R8f042e0a66714066">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ffe7f5ca4cf44ba6">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2016-17. The data set includes records for admitted patient separations between 1 July 2016 and 30 June 2017.</w:t>
            </w:r>
          </w:p>
          <w:p>
            <w:pPr>
              <w:spacing w:after="160"/>
            </w:pPr>
            <w:r>
              <w:rPr>
                <w:rStyle w:val="row-content-rich-text"/>
              </w:rPr>
              <w:t xml:space="preserve">In 2016-17,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6b62f5eb9a034621">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From 2016–17,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Changes in the classification of qualified days for Newborn episodes resulted in an apparent decrease in separations for both public and private hospitals.</w:t>
            </w:r>
          </w:p>
          <w:p>
            <w:pPr>
              <w:pStyle w:val="ListParagraph"/>
              <w:numPr>
                <w:ilvl w:val="0"/>
                <w:numId w:val="3"/>
              </w:numPr>
            </w:pPr>
            <w:r>
              <w:rPr>
                <w:rStyle w:val="row-content-rich-text"/>
              </w:rPr>
              <w:t xml:space="preserve">For 2016–17, Maintenance care was over-reported for one private hospital and therefore Acute care is likely to be underestimated.</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245925a5b4bd5">
              <w:r>
                <w:rPr>
                  <w:rStyle w:val="Hyperlink"/>
                </w:rPr>
                <w:t xml:space="preserve">Data quality statement: Admitted Patient Care 2015-16</w:t>
              </w:r>
            </w:hyperlink>
          </w:p>
          <w:p>
            <w:pPr>
              <w:pStyle w:val="registration-status"/>
              <w:spacing w:before="0" w:after="0"/>
            </w:pPr>
            <w:hyperlink w:history="true" r:id="R74f418f8631c41c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Has been superseded by </w:t>
            </w:r>
            <w:hyperlink w:history="true" r:id="R26348d3cad4a4d9f">
              <w:r>
                <w:rPr>
                  <w:rStyle w:val="Hyperlink"/>
                </w:rPr>
                <w:t xml:space="preserve">Data quality statement: Admitted Patient Care 2017-18</w:t>
              </w:r>
            </w:hyperlink>
          </w:p>
          <w:p>
            <w:pPr>
              <w:pStyle w:val="registration-status"/>
              <w:spacing w:before="0" w:after="0"/>
            </w:pPr>
            <w:hyperlink w:history="true" r:id="Rb3ca316fe9de403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b878c05104f4447">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27d8f6c9f94c474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2236b57bef746f6">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cfbfb7c2a8c3423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45491d10a9b46d0">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3ee88733a1f401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ed4101e67d5e46c0">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b713ec4031c34e6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8b317515aff4fe4">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2ca4066f221e4a6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73b551350ac4dc2">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ba23690f3875405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23f0403239d47f7">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57ceb33dfff04f1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d99f0c5f84c45c6">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7beb61b497b848a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cbcd2d718338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d5be60111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d2d7183384ddf" /><Relationship Type="http://schemas.openxmlformats.org/officeDocument/2006/relationships/header" Target="/word/header1.xml" Id="R9a68468521e24e3b" /><Relationship Type="http://schemas.openxmlformats.org/officeDocument/2006/relationships/settings" Target="/word/settings.xml" Id="R4a8ada9ccca64dd8" /><Relationship Type="http://schemas.openxmlformats.org/officeDocument/2006/relationships/styles" Target="/word/styles.xml" Id="Reba3c798ece8427c" /><Relationship Type="http://schemas.openxmlformats.org/officeDocument/2006/relationships/numbering" Target="/word/numbering.xml" Id="Ra289a80f05834e44" /><Relationship Type="http://schemas.openxmlformats.org/officeDocument/2006/relationships/hyperlink" Target="https://meteor-uat.aihw.gov.au/RegistrationAuthority/8" TargetMode="External" Id="R84bb00b6ede34067" /><Relationship Type="http://schemas.openxmlformats.org/officeDocument/2006/relationships/hyperlink" Target="http://www.legislation.gov.au/Series/C2004A03450" TargetMode="External" Id="Re7ae313e5c3f4fd5" /><Relationship Type="http://schemas.openxmlformats.org/officeDocument/2006/relationships/hyperlink" Target="https://www.aihw.gov.au/about-us/our-governance" TargetMode="External" Id="Rd965487d8bff499f" /><Relationship Type="http://schemas.openxmlformats.org/officeDocument/2006/relationships/hyperlink" Target="http://www.legislation.gov.au/Series/C2004A03450" TargetMode="External" Id="R36f4da1ce39347fa" /><Relationship Type="http://schemas.openxmlformats.org/officeDocument/2006/relationships/hyperlink" Target="http://www.legislation.gov.au/Series/C2004A03712" TargetMode="External" Id="R930a63c186af4f36" /><Relationship Type="http://schemas.openxmlformats.org/officeDocument/2006/relationships/hyperlink" Target="https://www.aihw.gov.au/" TargetMode="External" Id="R845119dadac34473" /><Relationship Type="http://schemas.openxmlformats.org/officeDocument/2006/relationships/hyperlink" Target="http://www.coaghealthcouncil.gov.au/Portals/0/130920_NHIA_revised_SCoH_FINAL_1.pdf" TargetMode="External" Id="Rf4eb3ae3d2cf41e6" /><Relationship Type="http://schemas.openxmlformats.org/officeDocument/2006/relationships/hyperlink" Target="https://www.aihw.gov.au/reports-data/health-welfare-services/hospitals/reports" TargetMode="External" Id="R668778f64e394766" /><Relationship Type="http://schemas.openxmlformats.org/officeDocument/2006/relationships/hyperlink" Target="https://www.aihw.gov.au/reports-data/health-welfare-services/hospitals/data" TargetMode="External" Id="Rfcc159d8dc744d36" /><Relationship Type="http://schemas.openxmlformats.org/officeDocument/2006/relationships/hyperlink" Target="http://www.aihw.gov.au/our-services/aihw-custom-data-request-service" TargetMode="External" Id="R08bc0bea17344b38" /><Relationship Type="http://schemas.openxmlformats.org/officeDocument/2006/relationships/hyperlink" Target="https://meteor-uat.aihw.gov.au/content/181162" TargetMode="External" Id="Rf19f48a4bc874560" /><Relationship Type="http://schemas.openxmlformats.org/officeDocument/2006/relationships/hyperlink" Target="https://www.aihw.gov.au/reports/health-care-quality-performance/national-health-data-dictionary-version-16-2/contents/table-of-contents" TargetMode="External" Id="R8f042e0a66714066" /><Relationship Type="http://schemas.openxmlformats.org/officeDocument/2006/relationships/hyperlink" Target="https://www.aihw.gov.au/reports/hospitals/variation-hospital-admission-policies-practices/contents/table-of-contents" TargetMode="External" Id="Rffe7f5ca4cf44ba6" /><Relationship Type="http://schemas.openxmlformats.org/officeDocument/2006/relationships/hyperlink" Target="https://www.aihw.gov.au/reports/hospitals/variation-hospital-admission-policies-practices/contents/table-of-contents" TargetMode="External" Id="R6b62f5eb9a034621" /><Relationship Type="http://schemas.openxmlformats.org/officeDocument/2006/relationships/hyperlink" Target="https://meteor-uat.aihw.gov.au/content/723825" TargetMode="External" Id="R8cc245925a5b4bd5" /><Relationship Type="http://schemas.openxmlformats.org/officeDocument/2006/relationships/hyperlink" Target="https://meteor-uat.aihw.gov.au/RegistrationAuthority/8" TargetMode="External" Id="R74f418f8631c41c0" /><Relationship Type="http://schemas.openxmlformats.org/officeDocument/2006/relationships/hyperlink" Target="https://meteor-uat.aihw.gov.au/content/724188" TargetMode="External" Id="R26348d3cad4a4d9f" /><Relationship Type="http://schemas.openxmlformats.org/officeDocument/2006/relationships/hyperlink" Target="https://meteor-uat.aihw.gov.au/RegistrationAuthority/8" TargetMode="External" Id="Rb3ca316fe9de4033" /><Relationship Type="http://schemas.openxmlformats.org/officeDocument/2006/relationships/hyperlink" Target="https://meteor-uat.aihw.gov.au/content/724433" TargetMode="External" Id="Rfb878c05104f4447" /><Relationship Type="http://schemas.openxmlformats.org/officeDocument/2006/relationships/hyperlink" Target="https://meteor-uat.aihw.gov.au/RegistrationAuthority/2" TargetMode="External" Id="R27d8f6c9f94c474a" /><Relationship Type="http://schemas.openxmlformats.org/officeDocument/2006/relationships/hyperlink" Target="https://meteor-uat.aihw.gov.au/content/736411" TargetMode="External" Id="R72236b57bef746f6" /><Relationship Type="http://schemas.openxmlformats.org/officeDocument/2006/relationships/hyperlink" Target="https://meteor-uat.aihw.gov.au/RegistrationAuthority/2" TargetMode="External" Id="Rcfbfb7c2a8c34236" /><Relationship Type="http://schemas.openxmlformats.org/officeDocument/2006/relationships/hyperlink" Target="https://meteor-uat.aihw.gov.au/content/724443" TargetMode="External" Id="Rb45491d10a9b46d0" /><Relationship Type="http://schemas.openxmlformats.org/officeDocument/2006/relationships/hyperlink" Target="https://meteor-uat.aihw.gov.au/RegistrationAuthority/2" TargetMode="External" Id="Rc3ee88733a1f4013" /><Relationship Type="http://schemas.openxmlformats.org/officeDocument/2006/relationships/hyperlink" Target="https://meteor-uat.aihw.gov.au/content/724500" TargetMode="External" Id="Red4101e67d5e46c0" /><Relationship Type="http://schemas.openxmlformats.org/officeDocument/2006/relationships/hyperlink" Target="https://meteor-uat.aihw.gov.au/RegistrationAuthority/2" TargetMode="External" Id="Rb713ec4031c34e61" /><Relationship Type="http://schemas.openxmlformats.org/officeDocument/2006/relationships/hyperlink" Target="https://meteor-uat.aihw.gov.au/content/724575" TargetMode="External" Id="Rc8b317515aff4fe4" /><Relationship Type="http://schemas.openxmlformats.org/officeDocument/2006/relationships/hyperlink" Target="https://meteor-uat.aihw.gov.au/RegistrationAuthority/2" TargetMode="External" Id="R2ca4066f221e4a61" /><Relationship Type="http://schemas.openxmlformats.org/officeDocument/2006/relationships/hyperlink" Target="https://meteor-uat.aihw.gov.au/content/724543" TargetMode="External" Id="Ra73b551350ac4dc2" /><Relationship Type="http://schemas.openxmlformats.org/officeDocument/2006/relationships/hyperlink" Target="https://meteor-uat.aihw.gov.au/RegistrationAuthority/2" TargetMode="External" Id="Rba23690f38754050" /><Relationship Type="http://schemas.openxmlformats.org/officeDocument/2006/relationships/hyperlink" Target="https://meteor-uat.aihw.gov.au/content/724516" TargetMode="External" Id="R323f0403239d47f7" /><Relationship Type="http://schemas.openxmlformats.org/officeDocument/2006/relationships/hyperlink" Target="https://meteor-uat.aihw.gov.au/RegistrationAuthority/2" TargetMode="External" Id="R57ceb33dfff04f1d" /><Relationship Type="http://schemas.openxmlformats.org/officeDocument/2006/relationships/hyperlink" Target="https://meteor-uat.aihw.gov.au/content/724486" TargetMode="External" Id="R0d99f0c5f84c45c6" /><Relationship Type="http://schemas.openxmlformats.org/officeDocument/2006/relationships/hyperlink" Target="https://meteor-uat.aihw.gov.au/RegistrationAuthority/2" TargetMode="External" Id="R7beb61b497b848a9" /></Relationships>
</file>

<file path=word/_rels/header1.xml.rels>&#65279;<?xml version="1.0" encoding="utf-8"?><Relationships xmlns="http://schemas.openxmlformats.org/package/2006/relationships"><Relationship Type="http://schemas.openxmlformats.org/officeDocument/2006/relationships/image" Target="/media/image.png" Id="Rbe6d5be601114617" /></Relationships>
</file>