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c2e39e85a7450b"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40cecac7f4b3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a378cb461847d4">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d70ff79d2640dc">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326701bde4f3475e">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a leave day.</w:t>
            </w:r>
          </w:p>
          <w:p>
            <w:pPr>
              <w:spacing w:after="160"/>
            </w:pPr>
            <w:r>
              <w:rPr>
                <w:rStyle w:val="row-content-rich-text"/>
              </w:rPr>
              <w:t xml:space="preserve">If a resident is formally discharged (</w:t>
            </w:r>
            <w:hyperlink w:history="true" r:id="R437e069cb6244c39">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 and no leave days are counted after 9 July.</w:t>
            </w:r>
          </w:p>
          <w:p>
            <w:pPr>
              <w:spacing w:after="160"/>
            </w:pPr>
            <w:r>
              <w:rPr>
                <w:rStyle w:val="row-content-rich-text"/>
              </w:rPr>
              <w:t xml:space="preserve">If a resident fails to return from leave (</w:t>
            </w:r>
            <w:hyperlink w:history="true" r:id="R722a9795af624f69">
              <w:r>
                <w:rPr>
                  <w:rStyle w:val="Hyperlink"/>
                </w:rPr>
                <w:t xml:space="preserve">Episode of residential care—episode end mode, code N</w:t>
              </w:r>
            </w:hyperlink>
            <w:r>
              <w:rPr>
                <w:rStyle w:val="row-content-rich-text"/>
              </w:rPr>
              <w:t xml:space="preserve">, code 3), then the residential stay ends on the date that leave commenced.</w:t>
            </w:r>
          </w:p>
          <w:p>
            <w:pPr/>
            <w:r>
              <w:rPr>
                <w:rStyle w:val="row-content-rich-text"/>
              </w:rPr>
              <w:t xml:space="preserve">Statistical separation for the end of the reference period (</w:t>
            </w:r>
            <w:hyperlink w:history="true" r:id="R0bfb0f86ecae4c59">
              <w:r>
                <w:rPr>
                  <w:rStyle w:val="Hyperlink"/>
                </w:rPr>
                <w:t xml:space="preserve">Episode of residential care—episode end mode, code N</w:t>
              </w:r>
            </w:hyperlink>
            <w:r>
              <w:rPr>
                <w:rStyle w:val="row-content-rich-text"/>
              </w:rPr>
              <w:t xml:space="preserve">, code 5) does not count as formal discharge. If a resident is on leave over the end of the reference period, and returns to the residential care service as expected, leave days are counted as specified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7f20c25964f47">
              <w:r>
                <w:rPr>
                  <w:rStyle w:val="Hyperlink"/>
                </w:rPr>
                <w:t xml:space="preserve">Episode of residential care—number of leave days, total N[NN]</w:t>
              </w:r>
            </w:hyperlink>
          </w:p>
          <w:p>
            <w:pPr>
              <w:pStyle w:val="registration-status"/>
              <w:spacing w:before="0" w:after="0"/>
            </w:pPr>
            <w:hyperlink w:history="true" r:id="R006a0995c97646f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9b5f9a9e6754114">
              <w:r>
                <w:rPr>
                  <w:rStyle w:val="Hyperlink"/>
                </w:rPr>
                <w:t xml:space="preserve">Episode of mental health care—episode end mode, code N[N]</w:t>
              </w:r>
            </w:hyperlink>
          </w:p>
          <w:p>
            <w:pPr>
              <w:pStyle w:val="registration-status"/>
              <w:spacing w:before="0" w:after="0"/>
            </w:pPr>
            <w:hyperlink w:history="true" r:id="R5d8d10eb0ae9400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9454af8ab4a42e6">
              <w:r>
                <w:rPr>
                  <w:rStyle w:val="Hyperlink"/>
                </w:rPr>
                <w:t xml:space="preserve">Episode of mental health care—episode end mode, code N[N{.N}]</w:t>
              </w:r>
            </w:hyperlink>
          </w:p>
          <w:p>
            <w:pPr>
              <w:pStyle w:val="registration-status"/>
              <w:spacing w:before="0" w:after="0"/>
            </w:pPr>
            <w:hyperlink w:history="true" r:id="R65fc64e82bc34c2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6d73516be1c4b47">
              <w:r>
                <w:rPr>
                  <w:rStyle w:val="Hyperlink"/>
                </w:rPr>
                <w:t xml:space="preserve">Episode of mental health care—episode end mode, code N[N{.N}]</w:t>
              </w:r>
            </w:hyperlink>
          </w:p>
          <w:p>
            <w:pPr>
              <w:pStyle w:val="registration-status"/>
              <w:spacing w:before="0" w:after="0"/>
            </w:pPr>
            <w:hyperlink w:history="true" r:id="R256a31ec14ec48e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fa4fe606bf74eb3">
              <w:r>
                <w:rPr>
                  <w:rStyle w:val="Hyperlink"/>
                </w:rPr>
                <w:t xml:space="preserve">Episode of residential care—episode end date</w:t>
              </w:r>
            </w:hyperlink>
          </w:p>
          <w:p>
            <w:pPr>
              <w:pStyle w:val="registration-status"/>
              <w:spacing w:before="0" w:after="0"/>
            </w:pPr>
            <w:hyperlink w:history="true" r:id="R934bf67d7c52421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78a67e952004f98">
              <w:r>
                <w:rPr>
                  <w:rStyle w:val="Hyperlink"/>
                </w:rPr>
                <w:t xml:space="preserve">Episode of residential care—episode end date, DDMMYYYY</w:t>
              </w:r>
            </w:hyperlink>
          </w:p>
          <w:p>
            <w:pPr>
              <w:pStyle w:val="registration-status"/>
              <w:spacing w:before="0" w:after="0"/>
            </w:pPr>
            <w:hyperlink w:history="true" r:id="Rd49bf612b552476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5e4c6fddc4420b">
              <w:r>
                <w:rPr>
                  <w:rStyle w:val="Hyperlink"/>
                </w:rPr>
                <w:t xml:space="preserve">Residential mental health care NMDS 2020–21</w:t>
              </w:r>
            </w:hyperlink>
          </w:p>
          <w:p>
            <w:pPr>
              <w:pStyle w:val="registration-status"/>
              <w:spacing w:before="0" w:after="0"/>
            </w:pPr>
            <w:hyperlink w:history="true" r:id="R9189834a0fa942d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1fb333b66b8d46ea">
              <w:r>
                <w:rPr>
                  <w:rStyle w:val="Hyperlink"/>
                </w:rPr>
                <w:t xml:space="preserve">Residential mental health care NMDS 2021–22</w:t>
              </w:r>
            </w:hyperlink>
          </w:p>
          <w:p>
            <w:pPr>
              <w:pStyle w:val="registration-status"/>
              <w:spacing w:before="0" w:after="0"/>
            </w:pPr>
            <w:hyperlink w:history="true" r:id="Rd125b01c4ac9400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a2bbb135657e4a24">
              <w:r>
                <w:rPr>
                  <w:rStyle w:val="Hyperlink"/>
                </w:rPr>
                <w:t xml:space="preserve">Residential mental health care NMDS 2022–23</w:t>
              </w:r>
            </w:hyperlink>
          </w:p>
          <w:p>
            <w:pPr>
              <w:pStyle w:val="registration-status"/>
              <w:spacing w:before="0" w:after="0"/>
            </w:pPr>
            <w:hyperlink w:history="true" r:id="R5b720ab72735447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p>
        </w:tc>
      </w:tr>
    </w:tbl>
    <w:p/>
    <w:tbl>
      <w:tblPr>
        <w:tblStyle w:val="TableGrid"/>
        <w:tblW w:w="0" w:type="auto"/>
      </w:tblPr>
    </w:tbl>
    <w:p>
      <w:r>
        <w:br/>
      </w:r>
    </w:p>
    <w:sectPr>
      <w:footerReference xmlns:r="http://schemas.openxmlformats.org/officeDocument/2006/relationships" w:type="default" r:id="R5dbc26e55f4d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d22b7f576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c26e55f4d4469" /><Relationship Type="http://schemas.openxmlformats.org/officeDocument/2006/relationships/header" Target="/word/header1.xml" Id="R8893663002224208" /><Relationship Type="http://schemas.openxmlformats.org/officeDocument/2006/relationships/settings" Target="/word/settings.xml" Id="Rc1b53ff6fe284beb" /><Relationship Type="http://schemas.openxmlformats.org/officeDocument/2006/relationships/styles" Target="/word/styles.xml" Id="R969a9538ae63464b" /><Relationship Type="http://schemas.openxmlformats.org/officeDocument/2006/relationships/numbering" Target="/word/numbering.xml" Id="R5ea60cb6350b4b48" /><Relationship Type="http://schemas.openxmlformats.org/officeDocument/2006/relationships/hyperlink" Target="https://meteor-uat.aihw.gov.au/RegistrationAuthority/14" TargetMode="External" Id="Red640cecac7f4b3b" /><Relationship Type="http://schemas.openxmlformats.org/officeDocument/2006/relationships/hyperlink" Target="https://meteor-uat.aihw.gov.au/content/723228" TargetMode="External" Id="Rc8a378cb461847d4" /><Relationship Type="http://schemas.openxmlformats.org/officeDocument/2006/relationships/hyperlink" Target="https://meteor-uat.aihw.gov.au/content/270577" TargetMode="External" Id="R02d70ff79d2640dc" /><Relationship Type="http://schemas.openxmlformats.org/officeDocument/2006/relationships/hyperlink" Target="https://meteor-uat.aihw.gov.au/content/722666" TargetMode="External" Id="R326701bde4f3475e" /><Relationship Type="http://schemas.openxmlformats.org/officeDocument/2006/relationships/hyperlink" Target="https://meteor-uat.aihw.gov.au/content/723192" TargetMode="External" Id="R437e069cb6244c39" /><Relationship Type="http://schemas.openxmlformats.org/officeDocument/2006/relationships/hyperlink" Target="https://meteor-uat.aihw.gov.au/content/723192" TargetMode="External" Id="R722a9795af624f69" /><Relationship Type="http://schemas.openxmlformats.org/officeDocument/2006/relationships/hyperlink" Target="https://meteor-uat.aihw.gov.au/content/723192" TargetMode="External" Id="R0bfb0f86ecae4c59" /><Relationship Type="http://schemas.openxmlformats.org/officeDocument/2006/relationships/hyperlink" Target="https://meteor-uat.aihw.gov.au/content/685908" TargetMode="External" Id="Rfec7f20c25964f47" /><Relationship Type="http://schemas.openxmlformats.org/officeDocument/2006/relationships/hyperlink" Target="https://meteor-uat.aihw.gov.au/RegistrationAuthority/14" TargetMode="External" Id="R006a0995c97646f1" /><Relationship Type="http://schemas.openxmlformats.org/officeDocument/2006/relationships/hyperlink" Target="https://meteor-uat.aihw.gov.au/content/722597" TargetMode="External" Id="R49b5f9a9e6754114" /><Relationship Type="http://schemas.openxmlformats.org/officeDocument/2006/relationships/hyperlink" Target="https://meteor-uat.aihw.gov.au/RegistrationAuthority/14" TargetMode="External" Id="R5d8d10eb0ae94003" /><Relationship Type="http://schemas.openxmlformats.org/officeDocument/2006/relationships/hyperlink" Target="https://meteor-uat.aihw.gov.au/content/730802" TargetMode="External" Id="Rc9454af8ab4a42e6" /><Relationship Type="http://schemas.openxmlformats.org/officeDocument/2006/relationships/hyperlink" Target="https://meteor-uat.aihw.gov.au/RegistrationAuthority/14" TargetMode="External" Id="R65fc64e82bc34c24" /><Relationship Type="http://schemas.openxmlformats.org/officeDocument/2006/relationships/hyperlink" Target="https://meteor-uat.aihw.gov.au/content/745660" TargetMode="External" Id="Rb6d73516be1c4b47" /><Relationship Type="http://schemas.openxmlformats.org/officeDocument/2006/relationships/hyperlink" Target="https://meteor-uat.aihw.gov.au/RegistrationAuthority/14" TargetMode="External" Id="R256a31ec14ec48e5" /><Relationship Type="http://schemas.openxmlformats.org/officeDocument/2006/relationships/hyperlink" Target="https://meteor-uat.aihw.gov.au/content/723203" TargetMode="External" Id="Rafa4fe606bf74eb3" /><Relationship Type="http://schemas.openxmlformats.org/officeDocument/2006/relationships/hyperlink" Target="https://meteor-uat.aihw.gov.au/RegistrationAuthority/14" TargetMode="External" Id="R934bf67d7c524211" /><Relationship Type="http://schemas.openxmlformats.org/officeDocument/2006/relationships/hyperlink" Target="https://meteor-uat.aihw.gov.au/content/723189" TargetMode="External" Id="R678a67e952004f98" /><Relationship Type="http://schemas.openxmlformats.org/officeDocument/2006/relationships/hyperlink" Target="https://meteor-uat.aihw.gov.au/RegistrationAuthority/14" TargetMode="External" Id="Rd49bf612b552476c" /><Relationship Type="http://schemas.openxmlformats.org/officeDocument/2006/relationships/hyperlink" Target="https://meteor-uat.aihw.gov.au/content/722224" TargetMode="External" Id="Rdb5e4c6fddc4420b" /><Relationship Type="http://schemas.openxmlformats.org/officeDocument/2006/relationships/hyperlink" Target="https://meteor-uat.aihw.gov.au/RegistrationAuthority/14" TargetMode="External" Id="R9189834a0fa942d2" /><Relationship Type="http://schemas.openxmlformats.org/officeDocument/2006/relationships/hyperlink" Target="https://meteor-uat.aihw.gov.au/content/727354" TargetMode="External" Id="R1fb333b66b8d46ea" /><Relationship Type="http://schemas.openxmlformats.org/officeDocument/2006/relationships/hyperlink" Target="https://meteor-uat.aihw.gov.au/RegistrationAuthority/14" TargetMode="External" Id="Rd125b01c4ac9400e" /><Relationship Type="http://schemas.openxmlformats.org/officeDocument/2006/relationships/hyperlink" Target="https://meteor-uat.aihw.gov.au/content/742165" TargetMode="External" Id="Ra2bbb135657e4a24" /><Relationship Type="http://schemas.openxmlformats.org/officeDocument/2006/relationships/hyperlink" Target="https://meteor-uat.aihw.gov.au/RegistrationAuthority/14" TargetMode="External" Id="R5b720ab727354474" /></Relationships>
</file>

<file path=word/_rels/header1.xml.rels>&#65279;<?xml version="1.0" encoding="utf-8"?><Relationships xmlns="http://schemas.openxmlformats.org/package/2006/relationships"><Relationship Type="http://schemas.openxmlformats.org/officeDocument/2006/relationships/image" Target="/media/image.png" Id="R86cd22b7f57649e8" /></Relationships>
</file>