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20a4e86004adf"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aade313c9496e">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w:t>
            </w:r>
            <w:r>
              <w:rPr>
                <w:rStyle w:val="row-content-rich-text"/>
              </w:rPr>
              <w:t xml:space="preserve">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fc2c0cda1f7439a">
              <w:r>
                <w:rPr>
                  <w:rStyle w:val="Hyperlink"/>
                  <w:b/>
                </w:rPr>
                <w:t xml:space="preserve">separation</w:t>
              </w:r>
            </w:hyperlink>
            <w:r>
              <w:rPr>
                <w:rStyle w:val="row-content-rich-text"/>
              </w:rPr>
              <w:t xml:space="preserve"> </w:t>
            </w:r>
            <w:r>
              <w:rPr>
                <w:rStyle w:val="row-content-rich-text"/>
              </w:rPr>
              <w:t xml:space="preserve">from an episode of mental health care and where applicable, place to which a patient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f1637a3ce24c21">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495a3fb1b84dcc">
              <w:r>
                <w:rPr>
                  <w:rStyle w:val="Hyperlink"/>
                </w:rPr>
                <w:t xml:space="preserve">Episode end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    Discharge/transfer to a residential aged care service, unless this is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7.</w:t>
            </w:r>
          </w:p>
          <w:p>
            <w:pPr>
              <w:spacing w:after="160"/>
            </w:pPr>
            <w:r>
              <w:rPr>
                <w:rStyle w:val="row-content-rich-text"/>
              </w:rPr>
              <w:t xml:space="preserve"> </w:t>
            </w:r>
          </w:p>
          <w:p>
            <w:pPr>
              <w:spacing w:after="160"/>
            </w:pPr>
            <w:r>
              <w:rPr>
                <w:rStyle w:val="row-content-rich-text"/>
              </w:rPr>
              <w:t xml:space="preserve">CODE 3</w:t>
            </w:r>
            <w:r>
              <w:rPr>
                <w:rStyle w:val="row-content-rich-text"/>
              </w:rPr>
              <w:t xml:space="preserve">    </w:t>
            </w:r>
            <w:r>
              <w:rPr>
                <w:rStyle w:val="row-content-rich-text"/>
              </w:rPr>
              <w:t xml:space="preserve">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and residential mental health care services. In jurisdictions where mothercraft facilities are considered to be acute hospitals, patients separated to a mothercraft facility should have an episode end mode of Code 1. If the residential mental health care service is the patient's place of usual residence, then they should have an episode end mode of Code 7.</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ambulatory mental health settings. For the purposes of activity based funding reporting, Code 4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(Code 3) and residential aged care services (Code 2), unless they are the patient's place of usual residence.</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w:t>
            </w:r>
            <w:r>
              <w:rPr>
                <w:rStyle w:val="row-content-rich-text"/>
              </w:rPr>
              <w:t xml:space="preserve">   Died</w:t>
            </w:r>
          </w:p>
          <w:p>
            <w:pPr>
              <w:spacing w:after="160"/>
            </w:pPr>
            <w:r>
              <w:rPr>
                <w:rStyle w:val="row-content-rich-text"/>
              </w:rPr>
              <w:t xml:space="preserve">This code refers to the closing of an episode due to the death of a patient.</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CODE 4 is used, the date of the last service event or contact in the episode should be recorded as the </w:t>
            </w:r>
            <w:hyperlink w:history="true" r:id="R9d6bee3d9f4f4619">
              <w:r>
                <w:rPr>
                  <w:rStyle w:val="Hyperlink"/>
                </w:rPr>
                <w:t xml:space="preserve">Episode of mental health care—episode end date, DDMMYYYY</w:t>
              </w:r>
            </w:hyperlink>
            <w:r>
              <w:rPr>
                <w:rStyle w:val="row-content-rich-text"/>
              </w:rPr>
              <w:t xml:space="preserve">.</w:t>
            </w:r>
          </w:p>
          <w:p>
            <w:pPr>
              <w:spacing w:after="160"/>
            </w:pPr>
            <w:r>
              <w:rPr>
                <w:rStyle w:val="row-content-rich-text"/>
              </w:rPr>
              <w:t xml:space="preserve">The applicable codes changed in 2018. For time series purposes the following applies:</w:t>
            </w:r>
          </w:p>
          <w:tbl>
            <w:tblPr>
              <w:tblStyle w:val="TableGrid"/>
              <w:tblW w:w="5000" w:type="pct"/>
              <w:tblLayout w:type="autofit"/>
            </w:tblPr>
            <w:tblGrid>
              <w:gridCol/>
              <w:gridCol/>
            </w:tblGrid>
            <w:tr>
              <w:trPr/>
              <w:tc>
                <w:tcPr>
                  <w:tcW w:w="2350" w:type="pct"/>
                  <w:vAlign w:val="top"/>
                </w:tcPr>
                <w:p>
                  <w:pPr/>
                  <w:r>
                    <w:rPr>
                      <w:rStyle w:val="row-content-rich-text"/>
                      <w:b/>
                    </w:rPr>
                    <w:t xml:space="preserve">NBEDS 2017</w:t>
                  </w:r>
                  <w:r>
                    <w:rPr>
                      <w:rStyle w:val="row-content-rich-text"/>
                    </w:rPr>
                    <w:t xml:space="preserve">–</w:t>
                  </w:r>
                  <w:r>
                    <w:rPr>
                      <w:rStyle w:val="row-content-rich-text"/>
                      <w:b/>
                    </w:rPr>
                    <w:t xml:space="preserve">18</w:t>
                  </w:r>
                </w:p>
              </w:tc>
              <w:tc>
                <w:tcPr>
                  <w:tcW w:w="2600" w:type="pct"/>
                  <w:vAlign w:val="top"/>
                </w:tcPr>
                <w:p>
                  <w:r>
                    <w:rPr>
                      <w:b/>
                    </w:rPr>
                    <w:t xml:space="preserve">NBEDS 2018</w:t>
                  </w:r>
                  <w:r>
                    <w:t xml:space="preserve">–</w:t>
                  </w:r>
                  <w:r>
                    <w:rPr>
                      <w:b/>
                    </w:rPr>
                    <w:t xml:space="preserve">19</w:t>
                  </w:r>
                </w:p>
              </w:tc>
            </w:tr>
            <w:tr>
              <w:trPr/>
              <w:tc>
                <w:tcPr>
                  <w:tcW w:w="2350" w:type="pct"/>
                  <w:vAlign w:val="top"/>
                </w:tcPr>
                <w:p>
                  <w:r>
                    <w:t xml:space="preserve">CODE 1 Discharge/transfer to an acute hospital</w:t>
                  </w:r>
                </w:p>
              </w:tc>
              <w:tc>
                <w:tcPr>
                  <w:tcW w:w="2600" w:type="pct"/>
                  <w:vAlign w:val="top"/>
                </w:tcPr>
                <w:p>
                  <w:r>
                    <w:t xml:space="preserve">CODE 1 Discharge/transfer to a hospital</w:t>
                  </w:r>
                </w:p>
              </w:tc>
            </w:tr>
            <w:tr>
              <w:trPr/>
              <w:tc>
                <w:tcPr>
                  <w:tcW w:w="2350" w:type="pct"/>
                  <w:vAlign w:val="top"/>
                </w:tcPr>
                <w:p>
                  <w:r>
                    <w:t xml:space="preserve">CODE 2 Discharge/transfer to a residential aged care service</w:t>
                  </w:r>
                </w:p>
              </w:tc>
              <w:tc>
                <w:tcPr>
                  <w:tcW w:w="2600" w:type="pct"/>
                  <w:vAlign w:val="top"/>
                </w:tcPr>
                <w:p>
                  <w:r>
                    <w:t xml:space="preserve">CODE 2 Discharge/transfer to a residential aged care service, unless this is the usual place of residence</w:t>
                  </w:r>
                </w:p>
              </w:tc>
            </w:tr>
            <w:tr>
              <w:trPr/>
              <w:tc>
                <w:tcPr>
                  <w:tcW w:w="2350" w:type="pct"/>
                  <w:vAlign w:val="top"/>
                </w:tcPr>
                <w:p>
                  <w:r>
                    <w:t xml:space="preserve">CODE 3 Discharge/transfer to (an)other psychiatric hospital</w:t>
                  </w:r>
                </w:p>
              </w:tc>
              <w:tc>
                <w:tcPr>
                  <w:tcW w:w="2600" w:type="pct"/>
                  <w:vAlign w:val="top"/>
                </w:tcPr>
                <w:p>
                  <w:r>
                    <w:t xml:space="preserve">CODE 1 Discharge/transfer to a hospital</w:t>
                  </w:r>
                </w:p>
              </w:tc>
            </w:tr>
            <w:tr>
              <w:trPr/>
              <w:tc>
                <w:tcPr>
                  <w:tcW w:w="2350" w:type="pct"/>
                  <w:vAlign w:val="top"/>
                </w:tcPr>
                <w:p>
                  <w:r>
                    <w:t xml:space="preserve">CODE 4 Discharge/transfer to other health care accommodation</w:t>
                  </w:r>
                </w:p>
              </w:tc>
              <w:tc>
                <w:tcPr>
                  <w:tcW w:w="2600" w:type="pct"/>
                  <w:vAlign w:val="top"/>
                </w:tcPr>
                <w:p>
                  <w:r>
                    <w:t xml:space="preserve">CODE 3 Discharge/transfer to other health care accommodation, unless this is the usual place of residence</w:t>
                  </w:r>
                </w:p>
              </w:tc>
            </w:tr>
            <w:tr>
              <w:trPr/>
              <w:tc>
                <w:tcPr>
                  <w:tcW w:w="2350" w:type="pct"/>
                  <w:vAlign w:val="top"/>
                </w:tcPr>
                <w:p>
                  <w:r>
                    <w:t xml:space="preserve">CODE 5 End of reference period</w:t>
                  </w:r>
                </w:p>
              </w:tc>
              <w:tc>
                <w:tcPr>
                  <w:tcW w:w="2600" w:type="pct"/>
                  <w:vAlign w:val="top"/>
                </w:tcPr>
                <w:p>
                  <w:r>
                    <w:t xml:space="preserve">CODE 9 End of reference period</w:t>
                  </w:r>
                </w:p>
              </w:tc>
            </w:tr>
            <w:tr>
              <w:trPr/>
              <w:tc>
                <w:tcPr>
                  <w:tcW w:w="2350" w:type="pct"/>
                  <w:vAlign w:val="top"/>
                </w:tcPr>
                <w:p>
                  <w:r>
                    <w:t xml:space="preserve">CODE 6 Left against medical advice/discharge at own risk</w:t>
                  </w:r>
                </w:p>
              </w:tc>
              <w:tc>
                <w:tcPr>
                  <w:tcW w:w="2600" w:type="pct"/>
                  <w:vAlign w:val="top"/>
                </w:tcPr>
                <w:p>
                  <w:r>
                    <w:t xml:space="preserve">CODE 6 Left against medical advice/discharge at own risk</w:t>
                  </w:r>
                </w:p>
              </w:tc>
            </w:tr>
            <w:tr>
              <w:trPr/>
              <w:tc>
                <w:tcPr>
                  <w:tcW w:w="2350" w:type="pct"/>
                  <w:vAlign w:val="top"/>
                </w:tcPr>
                <w:p>
                  <w:r>
                    <w:t xml:space="preserve">CODE 7 Statistical discharge from leave</w:t>
                  </w:r>
                </w:p>
              </w:tc>
              <w:tc>
                <w:tcPr>
                  <w:tcW w:w="2600" w:type="pct"/>
                  <w:vAlign w:val="top"/>
                </w:tcPr>
                <w:p>
                  <w:r>
                    <w:t xml:space="preserve">CODE 5 Discharge from leave</w:t>
                  </w:r>
                </w:p>
              </w:tc>
            </w:tr>
            <w:tr>
              <w:trPr/>
              <w:tc>
                <w:tcPr>
                  <w:tcW w:w="2350" w:type="pct"/>
                  <w:vAlign w:val="top"/>
                </w:tcPr>
                <w:p>
                  <w:r>
                    <w:t xml:space="preserve">CODE 8 Died</w:t>
                  </w:r>
                </w:p>
              </w:tc>
              <w:tc>
                <w:tcPr>
                  <w:tcW w:w="2600" w:type="pct"/>
                  <w:vAlign w:val="top"/>
                </w:tcPr>
                <w:p>
                  <w:r>
                    <w:t xml:space="preserve">CODE 10 Died</w:t>
                  </w:r>
                </w:p>
              </w:tc>
            </w:tr>
            <w:tr>
              <w:trPr/>
              <w:tc>
                <w:tcPr>
                  <w:tcW w:w="2350" w:type="pct"/>
                  <w:vAlign w:val="top"/>
                </w:tcPr>
                <w:p>
                  <w:r>
                    <w:t xml:space="preserve">CODE 9 Other</w:t>
                  </w:r>
                </w:p>
              </w:tc>
              <w:tc>
                <w:tcPr>
                  <w:tcW w:w="2600" w:type="pct"/>
                  <w:vAlign w:val="top"/>
                </w:tcPr>
                <w:p>
                  <w:r>
                    <w:t xml:space="preserve">CODE 7 Other (including place of usual residence)</w:t>
                  </w:r>
                </w:p>
              </w:tc>
            </w:tr>
            <w:tr>
              <w:trPr/>
              <w:tc>
                <w:tcPr>
                  <w:tcW w:w="2350" w:type="pct"/>
                  <w:vAlign w:val="top"/>
                </w:tcPr>
                <w:p>
                  <w:r>
                    <w:t xml:space="preserve">CODE 10 Discharge due to inactivity</w:t>
                  </w:r>
                </w:p>
              </w:tc>
              <w:tc>
                <w:tcPr>
                  <w:tcW w:w="2600" w:type="pct"/>
                  <w:vAlign w:val="top"/>
                </w:tcPr>
                <w:p>
                  <w:r>
                    <w:t xml:space="preserve">CODE 4 Discharge due to inactivity</w:t>
                  </w:r>
                </w:p>
              </w:tc>
            </w:tr>
            <w:tr>
              <w:trPr/>
              <w:tc>
                <w:tcPr>
                  <w:tcW w:w="2350" w:type="pct"/>
                  <w:vAlign w:val="top"/>
                </w:tcPr>
                <w:p>
                  <w:r>
                    <w:t xml:space="preserve">CODE 11 Statistical discharge due to admitted care type change</w:t>
                  </w:r>
                </w:p>
              </w:tc>
              <w:tc>
                <w:tcPr>
                  <w:tcW w:w="2600" w:type="pct"/>
                  <w:vAlign w:val="top"/>
                </w:tcPr>
                <w:p>
                  <w:r>
                    <w:t xml:space="preserve">CODE 8 Statistical discharge due to admitted care type change</w:t>
                  </w:r>
                </w:p>
              </w:tc>
            </w:tr>
            <w:tr>
              <w:trPr/>
              <w:tc>
                <w:tcPr>
                  <w:tcW w:w="2350" w:type="pct"/>
                  <w:vAlign w:val="top"/>
                </w:tcPr>
                <w:p>
                  <w:r>
                    <w:t xml:space="preserve">CODE 12 Did not return from leave</w:t>
                  </w:r>
                </w:p>
              </w:tc>
              <w:tc>
                <w:tcPr>
                  <w:tcW w:w="2600" w:type="pct"/>
                  <w:vAlign w:val="top"/>
                </w:tcPr>
                <w:p>
                  <w:r>
                    <w:t xml:space="preserve">CODE 5 Discharge from leave</w:t>
                  </w:r>
                </w:p>
              </w:tc>
            </w:tr>
            <w:tr>
              <w:trPr/>
              <w:tc>
                <w:tcPr>
                  <w:tcW w:w="2350" w:type="pct"/>
                  <w:vAlign w:val="top"/>
                </w:tcPr>
                <w:p>
                  <w:r>
                    <w:t xml:space="preserve">CODE 13 Return to other residential mental health service</w:t>
                  </w:r>
                </w:p>
              </w:tc>
              <w:tc>
                <w:tcPr>
                  <w:tcW w:w="2600" w:type="pct"/>
                  <w:vAlign w:val="top"/>
                </w:tcPr>
                <w:p>
                  <w:r>
                    <w:t xml:space="preserve">CODE 7 Other (including place of usual residence)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764926353da04f50">
              <w:r>
                <w:rPr>
                  <w:rStyle w:val="Hyperlink"/>
                </w:rPr>
                <w:t xml:space="preserve">Episode of admitted patient care—separation mode, code N</w:t>
              </w:r>
            </w:hyperlink>
            <w:r>
              <w:rPr>
                <w:rStyle w:val="row-content-rich-text"/>
              </w:rPr>
              <w:t xml:space="preserve">.</w:t>
            </w:r>
          </w:p>
          <w:p>
            <w:pPr/>
            <w:r>
              <w:rPr>
                <w:rStyle w:val="row-content-rich-text"/>
              </w:rPr>
              <w:t xml:space="preserve">Residential patient care: This data element can be derived from </w:t>
            </w:r>
            <w:hyperlink w:history="true" r:id="R2c8a1da96d634595">
              <w:r>
                <w:rPr>
                  <w:rStyle w:val="Hyperlink"/>
                </w:rPr>
                <w:t xml:space="preserve">Episode of residential care—episode end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454cfb794f4a31">
              <w:r>
                <w:rPr>
                  <w:rStyle w:val="Hyperlink"/>
                </w:rPr>
                <w:t xml:space="preserve">Episode of mental health care—episode end mode, code N[N]</w:t>
              </w:r>
            </w:hyperlink>
          </w:p>
          <w:p>
            <w:pPr>
              <w:pStyle w:val="registration-status"/>
              <w:spacing w:before="0" w:after="0"/>
            </w:pPr>
            <w:hyperlink w:history="true" r:id="R7b3bf5464815493a">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6994c3faa22b4c09">
              <w:r>
                <w:rPr>
                  <w:rStyle w:val="Hyperlink"/>
                </w:rPr>
                <w:t xml:space="preserve">Episode of mental health care—episode end mode, code N[N{.N}]</w:t>
              </w:r>
            </w:hyperlink>
          </w:p>
          <w:p>
            <w:pPr>
              <w:pStyle w:val="registration-status"/>
              <w:spacing w:before="0" w:after="0"/>
            </w:pPr>
            <w:hyperlink w:history="true" r:id="Ra88ae21bc52f428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ec8f1711a0248d9">
              <w:r>
                <w:rPr>
                  <w:rStyle w:val="Hyperlink"/>
                </w:rPr>
                <w:t xml:space="preserve">Episode of admitted patient care—separation mode, code N</w:t>
              </w:r>
            </w:hyperlink>
          </w:p>
          <w:p>
            <w:pPr>
              <w:pStyle w:val="registration-status"/>
              <w:spacing w:before="0" w:after="0"/>
            </w:pPr>
            <w:hyperlink w:history="true" r:id="Rfcf22c71bfc94c10">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638aa78c326b4708">
              <w:r>
                <w:rPr>
                  <w:rStyle w:val="Hyperlink"/>
                </w:rPr>
                <w:t xml:space="preserve">Episode of residential care—episode end mode, code N</w:t>
              </w:r>
            </w:hyperlink>
          </w:p>
          <w:p>
            <w:pPr>
              <w:pStyle w:val="registration-status"/>
              <w:spacing w:before="0" w:after="0"/>
            </w:pPr>
            <w:hyperlink w:history="true" r:id="R11a057998b144cd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e371c99591504298">
              <w:r>
                <w:rPr>
                  <w:rStyle w:val="Hyperlink"/>
                </w:rPr>
                <w:t xml:space="preserve">Episode of residential care—number of leave days, total N[NN]</w:t>
              </w:r>
            </w:hyperlink>
          </w:p>
          <w:p>
            <w:pPr>
              <w:pStyle w:val="registration-status"/>
              <w:spacing w:before="0" w:after="0"/>
            </w:pPr>
            <w:hyperlink w:history="true" r:id="R0adf303b5bad48b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23b060cd3c4259">
              <w:r>
                <w:rPr>
                  <w:rStyle w:val="Hyperlink"/>
                </w:rPr>
                <w:t xml:space="preserve">Activity based funding: Mental health care NBEDS 2020–21</w:t>
              </w:r>
            </w:hyperlink>
          </w:p>
          <w:p>
            <w:pPr>
              <w:pStyle w:val="registration-status"/>
              <w:spacing w:before="0" w:after="0"/>
            </w:pPr>
            <w:hyperlink w:history="true" r:id="R191b08945a734913">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ac91f96e240d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e51097b62d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1f96e240d4501" /><Relationship Type="http://schemas.openxmlformats.org/officeDocument/2006/relationships/header" Target="/word/header1.xml" Id="R2f1dfaf7907444b4" /><Relationship Type="http://schemas.openxmlformats.org/officeDocument/2006/relationships/settings" Target="/word/settings.xml" Id="Re9e6b85288234e19" /><Relationship Type="http://schemas.openxmlformats.org/officeDocument/2006/relationships/styles" Target="/word/styles.xml" Id="Rebd0e6324f2f400c" /><Relationship Type="http://schemas.openxmlformats.org/officeDocument/2006/relationships/hyperlink" Target="https://meteor-uat.aihw.gov.au/RegistrationAuthority/14" TargetMode="External" Id="R01eaade313c9496e" /><Relationship Type="http://schemas.openxmlformats.org/officeDocument/2006/relationships/hyperlink" Target="https://meteor-uat.aihw.gov.au/content/327268" TargetMode="External" Id="R5fc2c0cda1f7439a" /><Relationship Type="http://schemas.openxmlformats.org/officeDocument/2006/relationships/hyperlink" Target="https://meteor-uat.aihw.gov.au/content/723136" TargetMode="External" Id="Rc0f1637a3ce24c21" /><Relationship Type="http://schemas.openxmlformats.org/officeDocument/2006/relationships/hyperlink" Target="https://meteor-uat.aihw.gov.au/content/676232" TargetMode="External" Id="Rc3495a3fb1b84dcc" /><Relationship Type="http://schemas.openxmlformats.org/officeDocument/2006/relationships/hyperlink" Target="https://meteor-uat.aihw.gov.au/content/717758" TargetMode="External" Id="R9d6bee3d9f4f4619" /><Relationship Type="http://schemas.openxmlformats.org/officeDocument/2006/relationships/hyperlink" Target="https://meteor-uat.aihw.gov.au/content/270094" TargetMode="External" Id="R764926353da04f50" /><Relationship Type="http://schemas.openxmlformats.org/officeDocument/2006/relationships/hyperlink" Target="https://meteor-uat.aihw.gov.au/content/723192" TargetMode="External" Id="R2c8a1da96d634595" /><Relationship Type="http://schemas.openxmlformats.org/officeDocument/2006/relationships/hyperlink" Target="https://meteor-uat.aihw.gov.au/content/676234" TargetMode="External" Id="R06454cfb794f4a31" /><Relationship Type="http://schemas.openxmlformats.org/officeDocument/2006/relationships/hyperlink" Target="https://meteor-uat.aihw.gov.au/RegistrationAuthority/14" TargetMode="External" Id="R7b3bf5464815493a" /><Relationship Type="http://schemas.openxmlformats.org/officeDocument/2006/relationships/hyperlink" Target="https://meteor-uat.aihw.gov.au/content/730802" TargetMode="External" Id="R6994c3faa22b4c09" /><Relationship Type="http://schemas.openxmlformats.org/officeDocument/2006/relationships/hyperlink" Target="https://meteor-uat.aihw.gov.au/RegistrationAuthority/14" TargetMode="External" Id="Ra88ae21bc52f428c" /><Relationship Type="http://schemas.openxmlformats.org/officeDocument/2006/relationships/hyperlink" Target="https://meteor-uat.aihw.gov.au/content/270094" TargetMode="External" Id="R0ec8f1711a0248d9" /><Relationship Type="http://schemas.openxmlformats.org/officeDocument/2006/relationships/hyperlink" Target="https://meteor-uat.aihw.gov.au/RegistrationAuthority/14" TargetMode="External" Id="Rfcf22c71bfc94c10" /><Relationship Type="http://schemas.openxmlformats.org/officeDocument/2006/relationships/hyperlink" Target="https://meteor-uat.aihw.gov.au/content/723192" TargetMode="External" Id="R638aa78c326b4708" /><Relationship Type="http://schemas.openxmlformats.org/officeDocument/2006/relationships/hyperlink" Target="https://meteor-uat.aihw.gov.au/RegistrationAuthority/14" TargetMode="External" Id="R11a057998b144cd5" /><Relationship Type="http://schemas.openxmlformats.org/officeDocument/2006/relationships/hyperlink" Target="https://meteor-uat.aihw.gov.au/content/723200" TargetMode="External" Id="Re371c99591504298" /><Relationship Type="http://schemas.openxmlformats.org/officeDocument/2006/relationships/hyperlink" Target="https://meteor-uat.aihw.gov.au/RegistrationAuthority/14" TargetMode="External" Id="R0adf303b5bad48be" /><Relationship Type="http://schemas.openxmlformats.org/officeDocument/2006/relationships/hyperlink" Target="https://meteor-uat.aihw.gov.au/content/715671" TargetMode="External" Id="Ra623b060cd3c4259" /><Relationship Type="http://schemas.openxmlformats.org/officeDocument/2006/relationships/hyperlink" Target="https://meteor-uat.aihw.gov.au/RegistrationAuthority/14" TargetMode="External" Id="R191b08945a734913" /></Relationships>
</file>

<file path=word/_rels/header1.xml.rels>&#65279;<?xml version="1.0" encoding="utf-8"?><Relationships xmlns="http://schemas.openxmlformats.org/package/2006/relationships"><Relationship Type="http://schemas.openxmlformats.org/officeDocument/2006/relationships/image" Target="/media/image.png" Id="R88e51097b62d4171" /></Relationships>
</file>