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721e232deb4776" /></Relationships>
</file>

<file path=word/document.xml><?xml version="1.0" encoding="utf-8"?>
<w:document xmlns:r="http://schemas.openxmlformats.org/officeDocument/2006/relationships" xmlns:w="http://schemas.openxmlformats.org/wordprocessingml/2006/main">
  <w:body>
    <w:p>
      <w:pPr>
        <w:pStyle w:val="Title"/>
      </w:pPr>
      <w:r>
        <w:t>5. 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2b0540296b240f7">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82563c4827d4526"/>
                    <a:srcRect/>
                    <a:stretch>
                      <a:fillRect/>
                    </a:stretch>
                  </pic:blipFill>
                  <pic:spPr bwMode="auto">
                    <a:xfrm>
                      <a:off x="0" y="0"/>
                      <a:ext cx="114300" cy="76200"/>
                    </a:xfrm>
                    <a:prstGeom prst="rect">
                      <a:avLst/>
                    </a:prstGeom>
                  </pic:spPr>
                </pic:pic>
              </a:graphicData>
            </a:graphic>
          </wp:inline>
        </w:drawing>
      </w:r>
      <w:r>
        <w:t xml:space="preserve">"&gt; </w:t>
      </w:r>
      <w:hyperlink w:history="true" r:id="Rc28f9fe2e1d64a3b">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80ac242bc4b495c"/>
                    <a:srcRect/>
                    <a:stretch>
                      <a:fillRect/>
                    </a:stretch>
                  </pic:blipFill>
                  <pic:spPr bwMode="auto">
                    <a:xfrm>
                      <a:off x="0" y="0"/>
                      <a:ext cx="114300" cy="76200"/>
                    </a:xfrm>
                    <a:prstGeom prst="rect">
                      <a:avLst/>
                    </a:prstGeom>
                  </pic:spPr>
                </pic:pic>
              </a:graphicData>
            </a:graphic>
          </wp:inline>
        </w:drawing>
      </w:r>
      <w:r>
        <w:t xml:space="preserve">"&gt; 
5. Accessibility</w:t>
      </w:r>
      <w:r>
        <w:br/>
      </w:r>
    </w:p>
    <w:p>
      <w:pPr>
        <w:pStyle w:val="Heading1"/>
      </w:pPr>
      <w:r>
        <w:t xml:space="preserve">​5. 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‘accessible’ when it is available at the right place and time, taking account of different population needs and the affordability of care. Accessibility of the health system can be measured by patient waiting times and bulk-billing rates for general practitioners (GPs).</w:t>
            </w:r>
          </w:p>
        </w:tc>
      </w:tr>
    </w:tbl>
    <w:p>
      <w:pPr>
        <w:pStyle w:val="underlinedHeading2"/>
        <w:pBdr>
          <w:bottom w:val="single"/>
        </w:pBdr>
      </w:pPr>
      <w:r>
        <w:t xml:space="preserve">Indicators in this framework</w:t>
      </w:r>
    </w:p>
    <w:p>
      <w:pPr>
        <w:pStyle w:val="ListParagraph"/>
        <w:numPr>
          <w:ilvl w:val="0"/>
          <w:numId w:val="2"/>
        </w:numPr>
      </w:pPr>
      <w:hyperlink w:history="true" r:id="Rdb074d92f6e3485d">
        <w:r>
          <w:rPr>
            <w:rStyle w:val="Hyperlink"/>
          </w:rPr>
          <w:t xml:space="preserve">Australian Health Performance Framework: PI 2.5.6–Waiting times for emergency department care: waiting times to commencement of clinical care, 2019</w:t>
        </w:r>
      </w:hyperlink>
      <w:r>
        <w:br/>
      </w:r>
      <w:r>
        <w:t xml:space="preserve">       </w:t>
      </w:r>
      <w:hyperlink w:history="true" r:id="R0bf5deb65b0745c8">
        <w:r>
          <w:rPr>
            <w:rStyle w:val="Hyperlink"/>
            <w:color w:val="244061"/>
          </w:rPr>
          <w:t xml:space="preserve">Health!</w:t>
        </w:r>
      </w:hyperlink>
      <w:r>
        <w:rPr>
          <w:color w:val="244061"/>
        </w:rPr>
        <w:t xml:space="preserve">, Standard 09/04/2020</w:t>
      </w:r>
    </w:p>
    <w:p>
      <w:pPr>
        <w:pStyle w:val="ListParagraph"/>
        <w:numPr>
          <w:ilvl w:val="0"/>
          <w:numId w:val="2"/>
        </w:numPr>
      </w:pPr>
      <w:hyperlink w:history="true" r:id="Rba5766373ad54c25">
        <w:r>
          <w:rPr>
            <w:rStyle w:val="Hyperlink"/>
          </w:rPr>
          <w:t xml:space="preserve">Australian Health Performance Framework: PI 2.5.3–Waiting times for elective surgery: proportion admitted within clinically recommended time, 2019</w:t>
        </w:r>
      </w:hyperlink>
      <w:r>
        <w:br/>
      </w:r>
      <w:r>
        <w:t xml:space="preserve">       </w:t>
      </w:r>
      <w:hyperlink w:history="true" r:id="R22531c5146024127">
        <w:r>
          <w:rPr>
            <w:rStyle w:val="Hyperlink"/>
            <w:color w:val="244061"/>
          </w:rPr>
          <w:t xml:space="preserve">Health!</w:t>
        </w:r>
      </w:hyperlink>
      <w:r>
        <w:rPr>
          <w:color w:val="244061"/>
        </w:rPr>
        <w:t xml:space="preserve">, Standard 09/04/2020</w:t>
      </w:r>
    </w:p>
    <w:p>
      <w:pPr>
        <w:pStyle w:val="ListParagraph"/>
        <w:numPr>
          <w:ilvl w:val="0"/>
          <w:numId w:val="2"/>
        </w:numPr>
      </w:pPr>
      <w:hyperlink w:history="true" r:id="R630b484eb0a548f0">
        <w:r>
          <w:rPr>
            <w:rStyle w:val="Hyperlink"/>
          </w:rPr>
          <w:t xml:space="preserve">Australian Health Performance Framework: PI 2.5.4–Waiting times for elective surgery: percentage waited more than 365 days, 2019</w:t>
        </w:r>
      </w:hyperlink>
      <w:r>
        <w:br/>
      </w:r>
      <w:r>
        <w:t xml:space="preserve">       </w:t>
      </w:r>
      <w:hyperlink w:history="true" r:id="R01516aa4c0374c53">
        <w:r>
          <w:rPr>
            <w:rStyle w:val="Hyperlink"/>
            <w:color w:val="244061"/>
          </w:rPr>
          <w:t xml:space="preserve">Health!</w:t>
        </w:r>
      </w:hyperlink>
      <w:r>
        <w:rPr>
          <w:color w:val="244061"/>
        </w:rPr>
        <w:t xml:space="preserve">, Standard 09/04/2020</w:t>
      </w:r>
    </w:p>
    <w:p>
      <w:pPr>
        <w:pStyle w:val="ListParagraph"/>
        <w:numPr>
          <w:ilvl w:val="0"/>
          <w:numId w:val="2"/>
        </w:numPr>
      </w:pPr>
      <w:hyperlink w:history="true" r:id="Rd3f13c0fbb4c4ad0">
        <w:r>
          <w:rPr>
            <w:rStyle w:val="Hyperlink"/>
          </w:rPr>
          <w:t xml:space="preserve">Australian Health Performance Framework: PI 2.5.8–Waiting times for emergency department care: time spent in the emergency department, 2019</w:t>
        </w:r>
      </w:hyperlink>
      <w:r>
        <w:br/>
      </w:r>
      <w:r>
        <w:t xml:space="preserve">       </w:t>
      </w:r>
      <w:hyperlink w:history="true" r:id="Rb1942844ffc640f0">
        <w:r>
          <w:rPr>
            <w:rStyle w:val="Hyperlink"/>
            <w:color w:val="244061"/>
          </w:rPr>
          <w:t xml:space="preserve">Health!</w:t>
        </w:r>
      </w:hyperlink>
      <w:r>
        <w:rPr>
          <w:color w:val="244061"/>
        </w:rPr>
        <w:t xml:space="preserve">, Standard 09/04/2020</w:t>
      </w:r>
    </w:p>
    <w:p>
      <w:pPr>
        <w:pStyle w:val="ListParagraph"/>
        <w:numPr>
          <w:ilvl w:val="0"/>
          <w:numId w:val="2"/>
        </w:numPr>
      </w:pPr>
      <w:hyperlink w:history="true" r:id="Rd5938281784d450e">
        <w:r>
          <w:rPr>
            <w:rStyle w:val="Hyperlink"/>
          </w:rPr>
          <w:t xml:space="preserve">Australian Health Performance Framework: PI 2.5.5–Waiting times for emergency department care: proportion seen on time, 2019</w:t>
        </w:r>
      </w:hyperlink>
      <w:r>
        <w:br/>
      </w:r>
      <w:r>
        <w:t xml:space="preserve">       </w:t>
      </w:r>
      <w:hyperlink w:history="true" r:id="R0fc1c93dc1c44ced">
        <w:r>
          <w:rPr>
            <w:rStyle w:val="Hyperlink"/>
            <w:color w:val="244061"/>
          </w:rPr>
          <w:t xml:space="preserve">Health!</w:t>
        </w:r>
      </w:hyperlink>
      <w:r>
        <w:rPr>
          <w:color w:val="244061"/>
        </w:rPr>
        <w:t xml:space="preserve">, Standard 09/04/2020</w:t>
      </w:r>
    </w:p>
    <w:p>
      <w:pPr>
        <w:pStyle w:val="ListParagraph"/>
        <w:numPr>
          <w:ilvl w:val="0"/>
          <w:numId w:val="2"/>
        </w:numPr>
      </w:pPr>
      <w:hyperlink w:history="true" r:id="Rf237a6e9a74344cd">
        <w:r>
          <w:rPr>
            <w:rStyle w:val="Hyperlink"/>
          </w:rPr>
          <w:t xml:space="preserve">Australian Health Performance Framework: PI 2.5.7–Waiting times for emergency department care: percentage of patients whose length of emergency department stay is 4 hours or less, 2019</w:t>
        </w:r>
      </w:hyperlink>
      <w:r>
        <w:br/>
      </w:r>
      <w:r>
        <w:t xml:space="preserve">       </w:t>
      </w:r>
      <w:hyperlink w:history="true" r:id="R994c2c72ac594a1b">
        <w:r>
          <w:rPr>
            <w:rStyle w:val="Hyperlink"/>
            <w:color w:val="244061"/>
          </w:rPr>
          <w:t xml:space="preserve">Health!</w:t>
        </w:r>
      </w:hyperlink>
      <w:r>
        <w:rPr>
          <w:color w:val="244061"/>
        </w:rPr>
        <w:t xml:space="preserve">, Standard 09/04/2020</w:t>
      </w:r>
    </w:p>
    <w:p>
      <w:pPr>
        <w:pStyle w:val="ListParagraph"/>
        <w:numPr>
          <w:ilvl w:val="0"/>
          <w:numId w:val="2"/>
        </w:numPr>
      </w:pPr>
      <w:hyperlink w:history="true" r:id="R666d341812244513">
        <w:r>
          <w:rPr>
            <w:rStyle w:val="Hyperlink"/>
          </w:rPr>
          <w:t xml:space="preserve">Australian Health Performance Framework: PI 2.5.2–Waiting times for elective surgery: waiting times in days, 2019</w:t>
        </w:r>
      </w:hyperlink>
      <w:r>
        <w:br/>
      </w:r>
      <w:r>
        <w:t xml:space="preserve">       </w:t>
      </w:r>
      <w:hyperlink w:history="true" r:id="R7a1a042a30a6484c">
        <w:r>
          <w:rPr>
            <w:rStyle w:val="Hyperlink"/>
            <w:color w:val="244061"/>
          </w:rPr>
          <w:t xml:space="preserve">Health!</w:t>
        </w:r>
      </w:hyperlink>
      <w:r>
        <w:rPr>
          <w:color w:val="244061"/>
        </w:rPr>
        <w:t xml:space="preserve">, Standard 09/04/2020</w:t>
      </w:r>
    </w:p>
    <w:p>
      <w:pPr>
        <w:pStyle w:val="ListParagraph"/>
        <w:numPr>
          <w:ilvl w:val="0"/>
          <w:numId w:val="2"/>
        </w:numPr>
      </w:pPr>
      <w:hyperlink w:history="true" r:id="Rfca8db28f1c34284">
        <w:r>
          <w:rPr>
            <w:rStyle w:val="Hyperlink"/>
          </w:rPr>
          <w:t xml:space="preserve">Australian Health Performance Framework: PI 2.5.3–Waiting times for elective surgery: proportion admitted within clinically recommended time, 2020</w:t>
        </w:r>
      </w:hyperlink>
      <w:r>
        <w:br/>
      </w:r>
      <w:r>
        <w:t xml:space="preserve">       </w:t>
      </w:r>
      <w:hyperlink w:history="true" r:id="R648e46790b4c4e0c">
        <w:r>
          <w:rPr>
            <w:rStyle w:val="Hyperlink"/>
            <w:color w:val="244061"/>
          </w:rPr>
          <w:t xml:space="preserve">Health!</w:t>
        </w:r>
      </w:hyperlink>
      <w:r>
        <w:rPr>
          <w:color w:val="244061"/>
        </w:rPr>
        <w:t xml:space="preserve">, Standard 13/10/2021</w:t>
      </w:r>
    </w:p>
    <w:p>
      <w:pPr>
        <w:pStyle w:val="ListParagraph"/>
        <w:numPr>
          <w:ilvl w:val="0"/>
          <w:numId w:val="2"/>
        </w:numPr>
      </w:pPr>
      <w:hyperlink w:history="true" r:id="Rda261249b0224020">
        <w:r>
          <w:rPr>
            <w:rStyle w:val="Hyperlink"/>
          </w:rPr>
          <w:t xml:space="preserve">Australian Health Performance Framework: PI 2.5.7–Waiting times for emergency department care: percentage of patients whose length of emergency department stay is 4 hours or less, 2020</w:t>
        </w:r>
      </w:hyperlink>
      <w:r>
        <w:br/>
      </w:r>
      <w:r>
        <w:t xml:space="preserve">       </w:t>
      </w:r>
      <w:hyperlink w:history="true" r:id="R8b6d4b0564b24523">
        <w:r>
          <w:rPr>
            <w:rStyle w:val="Hyperlink"/>
            <w:color w:val="244061"/>
          </w:rPr>
          <w:t xml:space="preserve">Health!</w:t>
        </w:r>
      </w:hyperlink>
      <w:r>
        <w:rPr>
          <w:color w:val="244061"/>
        </w:rPr>
        <w:t xml:space="preserve">, Standard 13/10/2021</w:t>
      </w:r>
    </w:p>
    <w:p>
      <w:pPr>
        <w:pStyle w:val="ListParagraph"/>
        <w:numPr>
          <w:ilvl w:val="0"/>
          <w:numId w:val="2"/>
        </w:numPr>
      </w:pPr>
      <w:hyperlink w:history="true" r:id="R967f674ed43d4db7">
        <w:r>
          <w:rPr>
            <w:rStyle w:val="Hyperlink"/>
          </w:rPr>
          <w:t xml:space="preserve">Australian Health Performance Framework: PI 2.5.5–Waiting times for emergency department care: proportion seen on time, 2020</w:t>
        </w:r>
      </w:hyperlink>
      <w:r>
        <w:br/>
      </w:r>
      <w:r>
        <w:t xml:space="preserve">       </w:t>
      </w:r>
      <w:hyperlink w:history="true" r:id="R648a8dabac384ca0">
        <w:r>
          <w:rPr>
            <w:rStyle w:val="Hyperlink"/>
            <w:color w:val="244061"/>
          </w:rPr>
          <w:t xml:space="preserve">Health!</w:t>
        </w:r>
      </w:hyperlink>
      <w:r>
        <w:rPr>
          <w:color w:val="244061"/>
        </w:rPr>
        <w:t xml:space="preserve">, Standard 13/10/2021</w:t>
      </w:r>
    </w:p>
    <w:p>
      <w:pPr>
        <w:pStyle w:val="ListParagraph"/>
        <w:numPr>
          <w:ilvl w:val="0"/>
          <w:numId w:val="2"/>
        </w:numPr>
      </w:pPr>
      <w:hyperlink w:history="true" r:id="R0c63efec1a974822">
        <w:r>
          <w:rPr>
            <w:rStyle w:val="Hyperlink"/>
          </w:rPr>
          <w:t xml:space="preserve">Australian Health Performance Framework: PI 2.5.6–Waiting times for emergency department care: waiting times to commencement of clinical care, 2020</w:t>
        </w:r>
      </w:hyperlink>
      <w:r>
        <w:br/>
      </w:r>
      <w:r>
        <w:t xml:space="preserve">       </w:t>
      </w:r>
      <w:hyperlink w:history="true" r:id="R97aeb0e4496447dc">
        <w:r>
          <w:rPr>
            <w:rStyle w:val="Hyperlink"/>
            <w:color w:val="244061"/>
          </w:rPr>
          <w:t xml:space="preserve">Health!</w:t>
        </w:r>
      </w:hyperlink>
      <w:r>
        <w:rPr>
          <w:color w:val="244061"/>
        </w:rPr>
        <w:t xml:space="preserve">, Standard 13/10/2021</w:t>
      </w:r>
    </w:p>
    <w:p>
      <w:pPr>
        <w:pStyle w:val="ListParagraph"/>
        <w:numPr>
          <w:ilvl w:val="0"/>
          <w:numId w:val="2"/>
        </w:numPr>
      </w:pPr>
      <w:hyperlink w:history="true" r:id="Rc46ff8b7be484131">
        <w:r>
          <w:rPr>
            <w:rStyle w:val="Hyperlink"/>
          </w:rPr>
          <w:t xml:space="preserve">Australian Health Performance Framework: PI 2.5.8–Waiting times for emergency department care: time spent in the emergency department, 2020</w:t>
        </w:r>
      </w:hyperlink>
      <w:r>
        <w:br/>
      </w:r>
      <w:r>
        <w:t xml:space="preserve">       </w:t>
      </w:r>
      <w:hyperlink w:history="true" r:id="Rf27ce1dc86e3448a">
        <w:r>
          <w:rPr>
            <w:rStyle w:val="Hyperlink"/>
            <w:color w:val="244061"/>
          </w:rPr>
          <w:t xml:space="preserve">Health!</w:t>
        </w:r>
      </w:hyperlink>
      <w:r>
        <w:rPr>
          <w:color w:val="244061"/>
        </w:rPr>
        <w:t xml:space="preserve">, Standard 13/10/2021</w:t>
      </w:r>
    </w:p>
    <w:p>
      <w:pPr>
        <w:pStyle w:val="ListParagraph"/>
        <w:numPr>
          <w:ilvl w:val="0"/>
          <w:numId w:val="2"/>
        </w:numPr>
      </w:pPr>
      <w:hyperlink w:history="true" r:id="R21d42291efd74f0f">
        <w:r>
          <w:rPr>
            <w:rStyle w:val="Hyperlink"/>
          </w:rPr>
          <w:t xml:space="preserve">Australian Health Performance Framework: PI 2.5.2–Waiting times for elective surgery: waiting times in days, 2020</w:t>
        </w:r>
      </w:hyperlink>
      <w:r>
        <w:br/>
      </w:r>
      <w:r>
        <w:t xml:space="preserve">       </w:t>
      </w:r>
      <w:hyperlink w:history="true" r:id="Rc7b79963a787468f">
        <w:r>
          <w:rPr>
            <w:rStyle w:val="Hyperlink"/>
            <w:color w:val="244061"/>
          </w:rPr>
          <w:t xml:space="preserve">Health!</w:t>
        </w:r>
      </w:hyperlink>
      <w:r>
        <w:rPr>
          <w:color w:val="244061"/>
        </w:rPr>
        <w:t xml:space="preserve">, Standard 13/10/2021</w:t>
      </w:r>
    </w:p>
    <w:p>
      <w:pPr>
        <w:pStyle w:val="ListParagraph"/>
        <w:numPr>
          <w:ilvl w:val="0"/>
          <w:numId w:val="2"/>
        </w:numPr>
      </w:pPr>
      <w:hyperlink w:history="true" r:id="R100649d57c104194">
        <w:r>
          <w:rPr>
            <w:rStyle w:val="Hyperlink"/>
          </w:rPr>
          <w:t xml:space="preserve">Australian Health Performance Framework: PI 2.5.4–Waiting times for elective surgery: percentage waited more than 365 days, 2020</w:t>
        </w:r>
      </w:hyperlink>
      <w:r>
        <w:br/>
      </w:r>
      <w:r>
        <w:t xml:space="preserve">       </w:t>
      </w:r>
      <w:hyperlink w:history="true" r:id="R990340fba75249c0">
        <w:r>
          <w:rPr>
            <w:rStyle w:val="Hyperlink"/>
            <w:color w:val="244061"/>
          </w:rPr>
          <w:t xml:space="preserve">Health!</w:t>
        </w:r>
      </w:hyperlink>
      <w:r>
        <w:rPr>
          <w:color w:val="244061"/>
        </w:rPr>
        <w:t xml:space="preserve">, Standard 13/10/2021</w:t>
      </w:r>
    </w:p>
    <w:p>
      <w:pPr>
        <w:pStyle w:val="ListParagraph"/>
        <w:numPr>
          <w:ilvl w:val="0"/>
          <w:numId w:val="2"/>
        </w:numPr>
      </w:pPr>
      <w:hyperlink w:history="true" r:id="R98222747675f4e9d">
        <w:r>
          <w:rPr>
            <w:rStyle w:val="Hyperlink"/>
          </w:rPr>
          <w:t xml:space="preserve">Palliative Care and End-of-Life Care: PI 01a-Number of health practitioners in specialist palliative care workforce, 2021</w:t>
        </w:r>
      </w:hyperlink>
      <w:r>
        <w:br/>
      </w:r>
      <w:r>
        <w:t xml:space="preserve">       </w:t>
      </w:r>
      <w:hyperlink w:history="true" r:id="R53c115e399b44ff1">
        <w:r>
          <w:rPr>
            <w:rStyle w:val="Hyperlink"/>
            <w:color w:val="244061"/>
          </w:rPr>
          <w:t xml:space="preserve">Health!</w:t>
        </w:r>
      </w:hyperlink>
      <w:r>
        <w:rPr>
          <w:color w:val="244061"/>
        </w:rPr>
        <w:t xml:space="preserve">, Qualified 21/10/2021</w:t>
      </w:r>
    </w:p>
    <w:p>
      <w:pPr>
        <w:pStyle w:val="ListParagraph"/>
        <w:numPr>
          <w:ilvl w:val="0"/>
          <w:numId w:val="2"/>
        </w:numPr>
      </w:pPr>
      <w:hyperlink w:history="true" r:id="R20ec9694cb9240a9">
        <w:r>
          <w:rPr>
            <w:rStyle w:val="Hyperlink"/>
          </w:rPr>
          <w:t xml:space="preserve">Palliative Care and End-of-Life Care: PI 01b-Full-time equivalent employed specialist palliative care workforce, per 100,000 population, 2021</w:t>
        </w:r>
      </w:hyperlink>
      <w:r>
        <w:br/>
      </w:r>
      <w:r>
        <w:t xml:space="preserve">       </w:t>
      </w:r>
      <w:hyperlink w:history="true" r:id="R834a3b162cec41eb">
        <w:r>
          <w:rPr>
            <w:rStyle w:val="Hyperlink"/>
            <w:color w:val="244061"/>
          </w:rPr>
          <w:t xml:space="preserve">Health!</w:t>
        </w:r>
      </w:hyperlink>
      <w:r>
        <w:rPr>
          <w:color w:val="244061"/>
        </w:rPr>
        <w:t xml:space="preserve">, Qualified 21/10/2021</w:t>
      </w:r>
    </w:p>
    <w:p>
      <w:pPr>
        <w:pStyle w:val="ListParagraph"/>
        <w:numPr>
          <w:ilvl w:val="0"/>
          <w:numId w:val="2"/>
        </w:numPr>
      </w:pPr>
      <w:hyperlink w:history="true" r:id="Re53d61c98d974392">
        <w:r>
          <w:rPr>
            <w:rStyle w:val="Hyperlink"/>
          </w:rPr>
          <w:t xml:space="preserve">Palliative Care and End-of-Life Care: PI 03-Proportion of episodes in which patients commence palliative care within 2 days of being ready for care, 2021</w:t>
        </w:r>
      </w:hyperlink>
      <w:r>
        <w:br/>
      </w:r>
      <w:r>
        <w:t xml:space="preserve">       </w:t>
      </w:r>
      <w:hyperlink w:history="true" r:id="R4d9b6b86ebf44fe2">
        <w:r>
          <w:rPr>
            <w:rStyle w:val="Hyperlink"/>
            <w:color w:val="244061"/>
          </w:rPr>
          <w:t xml:space="preserve">Health!</w:t>
        </w:r>
      </w:hyperlink>
      <w:r>
        <w:rPr>
          <w:color w:val="244061"/>
        </w:rPr>
        <w:t xml:space="preserve">, Qualified 21/10/2021</w:t>
      </w:r>
    </w:p>
    <w:p>
      <w:r>
        <w:br/>
      </w:r>
    </w:p>
    <w:sectPr>
      <w:footerReference xmlns:r="http://schemas.openxmlformats.org/officeDocument/2006/relationships" w:type="default" r:id="Rcb903e5aa7bb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7ebbe2bcaa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903e5aa7bb4a0e" /><Relationship Type="http://schemas.openxmlformats.org/officeDocument/2006/relationships/header" Target="/word/header1.xml" Id="R3c318db7ec844e3a" /><Relationship Type="http://schemas.openxmlformats.org/officeDocument/2006/relationships/settings" Target="/word/settings.xml" Id="R4d92a77f41e74c3b" /><Relationship Type="http://schemas.openxmlformats.org/officeDocument/2006/relationships/styles" Target="/word/styles.xml" Id="Rfab2f5a084544edd" /><Relationship Type="http://schemas.openxmlformats.org/officeDocument/2006/relationships/image" Target="/media/image.gif" Id="R282563c4827d4526" /><Relationship Type="http://schemas.openxmlformats.org/officeDocument/2006/relationships/image" Target="/media/image2.gif" Id="R980ac242bc4b495c" /><Relationship Type="http://schemas.openxmlformats.org/officeDocument/2006/relationships/numbering" Target="/word/numbering.xml" Id="R3836aa3044464bf1" /><Relationship Type="http://schemas.openxmlformats.org/officeDocument/2006/relationships/hyperlink" Target="https://meteor-uat.aihw.gov.au/content/721590" TargetMode="External" Id="Ra2b0540296b240f7" /><Relationship Type="http://schemas.openxmlformats.org/officeDocument/2006/relationships/hyperlink" Target="https://meteor-uat.aihw.gov.au/content/721640" TargetMode="External" Id="Rc28f9fe2e1d64a3b" /><Relationship Type="http://schemas.openxmlformats.org/officeDocument/2006/relationships/hyperlink" Target="https://meteor-uat.aihw.gov.au/content/724051" TargetMode="External" Id="Rdb074d92f6e3485d" /><Relationship Type="http://schemas.openxmlformats.org/officeDocument/2006/relationships/hyperlink" Target="https://meteor-uat.aihw.gov.au/RegistrationAuthority/14" TargetMode="External" Id="R0bf5deb65b0745c8" /><Relationship Type="http://schemas.openxmlformats.org/officeDocument/2006/relationships/hyperlink" Target="https://meteor-uat.aihw.gov.au/content/715378" TargetMode="External" Id="Rba5766373ad54c25" /><Relationship Type="http://schemas.openxmlformats.org/officeDocument/2006/relationships/hyperlink" Target="https://meteor-uat.aihw.gov.au/RegistrationAuthority/14" TargetMode="External" Id="R22531c5146024127" /><Relationship Type="http://schemas.openxmlformats.org/officeDocument/2006/relationships/hyperlink" Target="https://meteor-uat.aihw.gov.au/content/716182" TargetMode="External" Id="R630b484eb0a548f0" /><Relationship Type="http://schemas.openxmlformats.org/officeDocument/2006/relationships/hyperlink" Target="https://meteor-uat.aihw.gov.au/RegistrationAuthority/14" TargetMode="External" Id="R01516aa4c0374c53" /><Relationship Type="http://schemas.openxmlformats.org/officeDocument/2006/relationships/hyperlink" Target="https://meteor-uat.aihw.gov.au/content/716197" TargetMode="External" Id="Rd3f13c0fbb4c4ad0" /><Relationship Type="http://schemas.openxmlformats.org/officeDocument/2006/relationships/hyperlink" Target="https://meteor-uat.aihw.gov.au/RegistrationAuthority/14" TargetMode="External" Id="Rb1942844ffc640f0" /><Relationship Type="http://schemas.openxmlformats.org/officeDocument/2006/relationships/hyperlink" Target="https://meteor-uat.aihw.gov.au/content/715380" TargetMode="External" Id="Rd5938281784d450e" /><Relationship Type="http://schemas.openxmlformats.org/officeDocument/2006/relationships/hyperlink" Target="https://meteor-uat.aihw.gov.au/RegistrationAuthority/14" TargetMode="External" Id="R0fc1c93dc1c44ced" /><Relationship Type="http://schemas.openxmlformats.org/officeDocument/2006/relationships/hyperlink" Target="https://meteor-uat.aihw.gov.au/content/715382" TargetMode="External" Id="Rf237a6e9a74344cd" /><Relationship Type="http://schemas.openxmlformats.org/officeDocument/2006/relationships/hyperlink" Target="https://meteor-uat.aihw.gov.au/RegistrationAuthority/14" TargetMode="External" Id="R994c2c72ac594a1b" /><Relationship Type="http://schemas.openxmlformats.org/officeDocument/2006/relationships/hyperlink" Target="https://meteor-uat.aihw.gov.au/content/715376" TargetMode="External" Id="R666d341812244513" /><Relationship Type="http://schemas.openxmlformats.org/officeDocument/2006/relationships/hyperlink" Target="https://meteor-uat.aihw.gov.au/RegistrationAuthority/14" TargetMode="External" Id="R7a1a042a30a6484c" /><Relationship Type="http://schemas.openxmlformats.org/officeDocument/2006/relationships/hyperlink" Target="https://meteor-uat.aihw.gov.au/content/728361" TargetMode="External" Id="Rfca8db28f1c34284" /><Relationship Type="http://schemas.openxmlformats.org/officeDocument/2006/relationships/hyperlink" Target="https://meteor-uat.aihw.gov.au/RegistrationAuthority/14" TargetMode="External" Id="R648e46790b4c4e0c" /><Relationship Type="http://schemas.openxmlformats.org/officeDocument/2006/relationships/hyperlink" Target="https://meteor-uat.aihw.gov.au/content/728373" TargetMode="External" Id="Rda261249b0224020" /><Relationship Type="http://schemas.openxmlformats.org/officeDocument/2006/relationships/hyperlink" Target="https://meteor-uat.aihw.gov.au/RegistrationAuthority/14" TargetMode="External" Id="R8b6d4b0564b24523" /><Relationship Type="http://schemas.openxmlformats.org/officeDocument/2006/relationships/hyperlink" Target="https://meteor-uat.aihw.gov.au/content/728367" TargetMode="External" Id="R967f674ed43d4db7" /><Relationship Type="http://schemas.openxmlformats.org/officeDocument/2006/relationships/hyperlink" Target="https://meteor-uat.aihw.gov.au/RegistrationAuthority/14" TargetMode="External" Id="R648a8dabac384ca0" /><Relationship Type="http://schemas.openxmlformats.org/officeDocument/2006/relationships/hyperlink" Target="https://meteor-uat.aihw.gov.au/content/728369" TargetMode="External" Id="R0c63efec1a974822" /><Relationship Type="http://schemas.openxmlformats.org/officeDocument/2006/relationships/hyperlink" Target="https://meteor-uat.aihw.gov.au/RegistrationAuthority/14" TargetMode="External" Id="R97aeb0e4496447dc" /><Relationship Type="http://schemas.openxmlformats.org/officeDocument/2006/relationships/hyperlink" Target="https://meteor-uat.aihw.gov.au/content/728375" TargetMode="External" Id="Rc46ff8b7be484131" /><Relationship Type="http://schemas.openxmlformats.org/officeDocument/2006/relationships/hyperlink" Target="https://meteor-uat.aihw.gov.au/RegistrationAuthority/14" TargetMode="External" Id="Rf27ce1dc86e3448a" /><Relationship Type="http://schemas.openxmlformats.org/officeDocument/2006/relationships/hyperlink" Target="https://meteor-uat.aihw.gov.au/content/728351" TargetMode="External" Id="R21d42291efd74f0f" /><Relationship Type="http://schemas.openxmlformats.org/officeDocument/2006/relationships/hyperlink" Target="https://meteor-uat.aihw.gov.au/RegistrationAuthority/14" TargetMode="External" Id="Rc7b79963a787468f" /><Relationship Type="http://schemas.openxmlformats.org/officeDocument/2006/relationships/hyperlink" Target="https://meteor-uat.aihw.gov.au/content/728365" TargetMode="External" Id="R100649d57c104194" /><Relationship Type="http://schemas.openxmlformats.org/officeDocument/2006/relationships/hyperlink" Target="https://meteor-uat.aihw.gov.au/RegistrationAuthority/14" TargetMode="External" Id="R990340fba75249c0" /><Relationship Type="http://schemas.openxmlformats.org/officeDocument/2006/relationships/hyperlink" Target="https://meteor-uat.aihw.gov.au/content/744815" TargetMode="External" Id="R98222747675f4e9d" /><Relationship Type="http://schemas.openxmlformats.org/officeDocument/2006/relationships/hyperlink" Target="https://meteor-uat.aihw.gov.au/RegistrationAuthority/14" TargetMode="External" Id="R53c115e399b44ff1" /><Relationship Type="http://schemas.openxmlformats.org/officeDocument/2006/relationships/hyperlink" Target="https://meteor-uat.aihw.gov.au/content/741829" TargetMode="External" Id="R20ec9694cb9240a9" /><Relationship Type="http://schemas.openxmlformats.org/officeDocument/2006/relationships/hyperlink" Target="https://meteor-uat.aihw.gov.au/RegistrationAuthority/14" TargetMode="External" Id="R834a3b162cec41eb" /><Relationship Type="http://schemas.openxmlformats.org/officeDocument/2006/relationships/hyperlink" Target="https://meteor-uat.aihw.gov.au/content/742661" TargetMode="External" Id="Re53d61c98d974392" /><Relationship Type="http://schemas.openxmlformats.org/officeDocument/2006/relationships/hyperlink" Target="https://meteor-uat.aihw.gov.au/RegistrationAuthority/14" TargetMode="External" Id="R4d9b6b86ebf44fe2" /></Relationships>
</file>

<file path=word/_rels/header1.xml.rels>&#65279;<?xml version="1.0" encoding="utf-8"?><Relationships xmlns="http://schemas.openxmlformats.org/package/2006/relationships"><Relationship Type="http://schemas.openxmlformats.org/officeDocument/2006/relationships/image" Target="/media/image.png" Id="R8b7ebbe2bcaa47fc" /></Relationships>
</file>