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993f0f4408e49dc" /></Relationships>
</file>

<file path=word/document.xml><?xml version="1.0" encoding="utf-8"?>
<w:document xmlns:r="http://schemas.openxmlformats.org/officeDocument/2006/relationships" xmlns:w="http://schemas.openxmlformats.org/wordprocessingml/2006/main">
  <w:body>
    <w:p>
      <w:pPr>
        <w:pStyle w:val="Title"/>
      </w:pPr>
      <w:r>
        <w:t>Child—fully immunised recorded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Child—fully immunised recorded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Fully immunised recorded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720830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150da0397645b8">
              <w:r>
                <w:rPr>
                  <w:rStyle w:val="Hyperlink"/>
                  <w:color w:val="244061"/>
                </w:rPr>
                <w:t xml:space="preserve">Health!</w:t>
              </w:r>
            </w:hyperlink>
            <w:r>
              <w:rPr>
                <w:rStyle w:val="row-content"/>
                <w:color w:val="244061"/>
              </w:rPr>
              <w:t xml:space="preserve">, Standard 16/01/2020</w:t>
            </w:r>
          </w:p>
          <w:p>
            <w:pPr>
              <w:spacing w:before="0" w:after="0"/>
            </w:pPr>
            <w:hyperlink w:history="true" r:id="Ra056aae75b5943c3">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has been recorded as fully immunised,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9bda2b780794ebd">
              <w:r>
                <w:rPr>
                  <w:rStyle w:val="Hyperlink"/>
                </w:rPr>
                <w:t xml:space="preserve">Child—recorded as fully immunised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ba0b6223bc84d92">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child is recorded as fully immunised.</w:t>
            </w:r>
          </w:p>
          <w:p>
            <w:pPr>
              <w:spacing w:after="160"/>
            </w:pPr>
            <w:r>
              <w:rPr>
                <w:rStyle w:val="row-content-rich-text"/>
              </w:rPr>
              <w:t xml:space="preserve">CODE 2   No</w:t>
            </w:r>
          </w:p>
          <w:p>
            <w:pPr/>
            <w:r>
              <w:rPr>
                <w:rStyle w:val="row-content-rich-text"/>
              </w:rPr>
              <w:t xml:space="preserve">A child is not recorded as fully immunised</w:t>
            </w:r>
            <w:r>
              <w:rPr>
                <w:rStyle w:val="row-content-rich-text"/>
                <w:b/>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'Fully immunised' status is determined in accordance with the National Immunisation Program Schedule. The childhood vaccinations essential to be considered 'fully immunised' include:</w:t>
            </w:r>
          </w:p>
          <w:p>
            <w:pPr>
              <w:pStyle w:val="ListParagraph"/>
              <w:numPr>
                <w:ilvl w:val="0"/>
                <w:numId w:val="2"/>
              </w:numPr>
            </w:pPr>
            <w:r>
              <w:rPr>
                <w:rStyle w:val="row-content-rich-text"/>
              </w:rPr>
              <w:t xml:space="preserve">DTPa (diphtheria, tetanus, pertussis)</w:t>
            </w:r>
          </w:p>
          <w:p>
            <w:pPr>
              <w:pStyle w:val="ListParagraph"/>
              <w:numPr>
                <w:ilvl w:val="0"/>
                <w:numId w:val="2"/>
              </w:numPr>
            </w:pPr>
            <w:r>
              <w:rPr>
                <w:rStyle w:val="row-content-rich-text"/>
              </w:rPr>
              <w:t xml:space="preserve">HiB (haemophilus influenzae type B)</w:t>
            </w:r>
          </w:p>
          <w:p>
            <w:pPr>
              <w:pStyle w:val="ListParagraph"/>
              <w:numPr>
                <w:ilvl w:val="0"/>
                <w:numId w:val="2"/>
              </w:numPr>
            </w:pPr>
            <w:r>
              <w:rPr>
                <w:rStyle w:val="row-content-rich-text"/>
              </w:rPr>
              <w:t xml:space="preserve">Polio</w:t>
            </w:r>
          </w:p>
          <w:p>
            <w:pPr>
              <w:pStyle w:val="ListParagraph"/>
              <w:numPr>
                <w:ilvl w:val="0"/>
                <w:numId w:val="2"/>
              </w:numPr>
            </w:pPr>
            <w:r>
              <w:rPr>
                <w:rStyle w:val="row-content-rich-text"/>
              </w:rPr>
              <w:t xml:space="preserve">Hep B (hepatitis B)</w:t>
            </w:r>
          </w:p>
          <w:p>
            <w:pPr>
              <w:pStyle w:val="ListParagraph"/>
              <w:numPr>
                <w:ilvl w:val="0"/>
                <w:numId w:val="2"/>
              </w:numPr>
            </w:pPr>
            <w:r>
              <w:rPr>
                <w:rStyle w:val="row-content-rich-text"/>
              </w:rPr>
              <w:t xml:space="preserve">MMR (measles, mumps, rubella).</w:t>
            </w:r>
          </w:p>
          <w:p>
            <w:pPr>
              <w:spacing w:after="160"/>
            </w:pPr>
            <w:r>
              <w:rPr>
                <w:rStyle w:val="row-content-rich-text"/>
              </w:rPr>
              <w:t xml:space="preserve">A child is considered 'fully immunised' if they have received the following vaccinations by the specified age milestones:</w:t>
            </w:r>
          </w:p>
          <w:p>
            <w:pPr>
              <w:pStyle w:val="ListParagraph"/>
              <w:numPr>
                <w:ilvl w:val="0"/>
                <w:numId w:val="3"/>
              </w:numPr>
            </w:pPr>
            <w:r>
              <w:rPr>
                <w:rStyle w:val="row-content-rich-text"/>
              </w:rPr>
              <w:t xml:space="preserve">At 12 months: 3 doses DTPa; 3 doses Polio; 2 or 3 doses HiB; 2 or 3 doses Hep B</w:t>
            </w:r>
          </w:p>
          <w:p>
            <w:pPr>
              <w:pStyle w:val="ListParagraph"/>
              <w:numPr>
                <w:ilvl w:val="0"/>
                <w:numId w:val="3"/>
              </w:numPr>
            </w:pPr>
            <w:r>
              <w:rPr>
                <w:rStyle w:val="row-content-rich-text"/>
              </w:rPr>
              <w:t xml:space="preserve">At 24 months: 3 doses DTPa; 3 doses Polio; 3 or 4 doses HiB; 3 doses Hep B; 1 dose MMR</w:t>
            </w:r>
          </w:p>
          <w:p>
            <w:pPr>
              <w:pStyle w:val="ListParagraph"/>
              <w:numPr>
                <w:ilvl w:val="0"/>
                <w:numId w:val="3"/>
              </w:numPr>
            </w:pPr>
            <w:r>
              <w:rPr>
                <w:rStyle w:val="row-content-rich-text"/>
              </w:rPr>
              <w:t xml:space="preserve">At 60 months: 4 doses DTPa; 4 doses Polio; 2 doses MMR.</w:t>
            </w:r>
          </w:p>
          <w:p>
            <w:pPr/>
            <w:r>
              <w:rPr>
                <w:rStyle w:val="row-content-rich-text"/>
              </w:rPr>
              <w:t xml:space="preserve">(DoH 2019).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DoH (Australian Government Department of Health) 2019. National Immunisation Program Schedule. DoH, Canberra, Viewed 24 July 2019, </w:t>
            </w:r>
            <w:hyperlink w:history="true" r:id="Ra1aa5975b84d4832">
              <w:r>
                <w:rPr>
                  <w:rStyle w:val="Hyperlink"/>
                </w:rPr>
                <w:t xml:space="preserve">https://www.health.gov.au/health-topics/immunisation/immunisation-throughout-life/national-immunisation-program-schedule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98632f959d74f28">
              <w:r>
                <w:rPr>
                  <w:rStyle w:val="Hyperlink"/>
                </w:rPr>
                <w:t xml:space="preserve">Child—fully immunised recorded indicator, yes/no code N</w:t>
              </w:r>
            </w:hyperlink>
          </w:p>
          <w:p>
            <w:pPr>
              <w:pStyle w:val="registration-status"/>
              <w:spacing w:before="0" w:after="0"/>
            </w:pPr>
            <w:hyperlink w:history="true" r:id="Rb3f92619fc1a463e">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99be41fc84f142dc">
              <w:r>
                <w:rPr>
                  <w:rStyle w:val="Hyperlink"/>
                  <w:color w:val="244061"/>
                </w:rPr>
                <w:t xml:space="preserve">Indigenous</w:t>
              </w:r>
            </w:hyperlink>
            <w:r>
              <w:rPr>
                <w:rStyle w:val="row-content"/>
                <w:color w:val="244061"/>
              </w:rPr>
              <w:t xml:space="preserve">, Superseded 14/07/2021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e6000096ba4471b">
              <w:r>
                <w:rPr>
                  <w:rStyle w:val="Hyperlink"/>
                </w:rPr>
                <w:t xml:space="preserve">Indigenous primary health care NBEDS 2020–21</w:t>
              </w:r>
            </w:hyperlink>
          </w:p>
          <w:p>
            <w:pPr>
              <w:pStyle w:val="registration-status"/>
              <w:spacing w:before="0" w:after="0"/>
            </w:pPr>
            <w:hyperlink w:history="true" r:id="R8e5c7cf64b354c33">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f50bc5046af54a26">
              <w:r>
                <w:rPr>
                  <w:rStyle w:val="Hyperlink"/>
                </w:rPr>
                <w:t xml:space="preserve">Indigenous-specific primary health care NBEDS December 2020</w:t>
              </w:r>
            </w:hyperlink>
          </w:p>
          <w:p>
            <w:pPr>
              <w:pStyle w:val="registration-status"/>
              <w:spacing w:before="0" w:after="0"/>
            </w:pPr>
            <w:hyperlink w:history="true" r:id="Rf71d05a55cb14284">
              <w:r>
                <w:rPr>
                  <w:rStyle w:val="Hyperlink"/>
                  <w:color w:val="244061"/>
                </w:rPr>
                <w:t xml:space="preserve">Indigenous</w:t>
              </w:r>
            </w:hyperlink>
            <w:r>
              <w:rPr>
                <w:rStyle w:val="row-content"/>
                <w:color w:val="244061"/>
              </w:rPr>
              <w:t xml:space="preserve">, Standard 14/07/2021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Conditional obligation: </w:t>
            </w:r>
          </w:p>
          <w:p>
            <w:r>
              <w:rPr>
                <w:rStyle w:val="row-content"/>
              </w:rPr>
              <w:t xml:space="preserve">Reporting against this data element is conditional upon a person being aged ≥ 12 months and &lt; 72 months at the census date.</w:t>
            </w:r>
          </w:p>
          <w:p>
            <w:r>
              <w:br/>
            </w:r>
            <w:r>
              <w:rPr>
                <w:rStyle w:val="row-content"/>
                <w:b/>
                <w:i/>
              </w:rPr>
              <w:t xml:space="preserve">DSS specific information: </w:t>
            </w:r>
          </w:p>
          <w:p>
            <w:r>
              <w:rPr>
                <w:rStyle w:val="row-content"/>
              </w:rPr>
              <w:t xml:space="preserve">In the ISPHC NBEDS, a child is considered ‘fully immunised’ if they have received the relevant vaccinations as per the National Immunisation Program Schedule by the specified age milestones.</w:t>
            </w:r>
            <w:r>
              <w:br/>
            </w:r>
            <w:r>
              <w:rPr>
                <w:rStyle w:val="row-content"/>
              </w:rPr>
              <w:t xml:space="preserve">Currently, these vaccinations include:</w:t>
            </w:r>
          </w:p>
          <w:p>
            <w:pPr>
              <w:pStyle w:val="ListParagraph"/>
              <w:numPr>
                <w:ilvl w:val="0"/>
                <w:numId w:val="4"/>
              </w:numPr>
            </w:pPr>
            <w:r>
              <w:rPr>
                <w:rStyle w:val="row-content"/>
              </w:rPr>
              <w:t xml:space="preserve">DTPa (diphtheria, tetanus, pertussis)</w:t>
            </w:r>
          </w:p>
          <w:p>
            <w:pPr>
              <w:pStyle w:val="ListParagraph"/>
              <w:numPr>
                <w:ilvl w:val="0"/>
                <w:numId w:val="4"/>
              </w:numPr>
            </w:pPr>
            <w:r>
              <w:rPr>
                <w:rStyle w:val="row-content"/>
              </w:rPr>
              <w:t xml:space="preserve">Polio</w:t>
            </w:r>
          </w:p>
          <w:p>
            <w:pPr>
              <w:pStyle w:val="ListParagraph"/>
              <w:numPr>
                <w:ilvl w:val="0"/>
                <w:numId w:val="4"/>
              </w:numPr>
            </w:pPr>
            <w:r>
              <w:rPr>
                <w:rStyle w:val="row-content"/>
              </w:rPr>
              <w:t xml:space="preserve">HiB (haemophilus influenzae type B)</w:t>
            </w:r>
          </w:p>
          <w:p>
            <w:pPr>
              <w:pStyle w:val="ListParagraph"/>
              <w:numPr>
                <w:ilvl w:val="0"/>
                <w:numId w:val="4"/>
              </w:numPr>
            </w:pPr>
            <w:r>
              <w:rPr>
                <w:rStyle w:val="row-content"/>
              </w:rPr>
              <w:t xml:space="preserve">Hep B (hepatitis B)</w:t>
            </w:r>
          </w:p>
          <w:p>
            <w:pPr>
              <w:pStyle w:val="ListParagraph"/>
              <w:numPr>
                <w:ilvl w:val="0"/>
                <w:numId w:val="4"/>
              </w:numPr>
            </w:pPr>
            <w:r>
              <w:rPr>
                <w:rStyle w:val="row-content"/>
              </w:rPr>
              <w:t xml:space="preserve">MMR (measles, mumps, rubella).</w:t>
            </w:r>
          </w:p>
          <w:p>
            <w:r>
              <w:rPr>
                <w:rStyle w:val="row-content"/>
              </w:rPr>
              <w:t xml:space="preserve">The age milestones are as follows:</w:t>
            </w:r>
          </w:p>
          <w:p>
            <w:pPr>
              <w:pStyle w:val="ListParagraph"/>
              <w:numPr>
                <w:ilvl w:val="0"/>
                <w:numId w:val="5"/>
              </w:numPr>
            </w:pPr>
            <w:r>
              <w:rPr>
                <w:rStyle w:val="row-content"/>
              </w:rPr>
              <w:t xml:space="preserve">at 12 months: 3 doses DTPa; 3 doses Polio; 2 or 3 doses HiB; 2 or 3 doses Hep B</w:t>
            </w:r>
          </w:p>
          <w:p>
            <w:pPr>
              <w:pStyle w:val="ListParagraph"/>
              <w:numPr>
                <w:ilvl w:val="0"/>
                <w:numId w:val="5"/>
              </w:numPr>
            </w:pPr>
            <w:r>
              <w:rPr>
                <w:rStyle w:val="row-content"/>
              </w:rPr>
              <w:t xml:space="preserve">at 24 months: 3 doses DTPa; 3 doses Polio; 3 or 4 doses HiB; 3 doses Hep B; 1 dose MMR</w:t>
            </w:r>
          </w:p>
          <w:p>
            <w:pPr>
              <w:pStyle w:val="ListParagraph"/>
              <w:numPr>
                <w:ilvl w:val="0"/>
                <w:numId w:val="5"/>
              </w:numPr>
            </w:pPr>
            <w:r>
              <w:rPr>
                <w:rStyle w:val="row-content"/>
              </w:rPr>
              <w:t xml:space="preserve">at 60 months: 4 doses DTPa; 4 doses Polio; 2 doses MMR.</w:t>
            </w:r>
          </w:p>
          <w:p>
            <w:r>
              <w:rPr>
                <w:rStyle w:val="row-content"/>
              </w:rPr>
              <w:t xml:space="preserve">In the ISPHC NBEDS only aggregated data with CODE 1 are provided to the AIHW.</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7545051c86024a42">
              <w:r>
                <w:rPr>
                  <w:rStyle w:val="Hyperlink"/>
                </w:rPr>
                <w:t xml:space="preserve">Indigenous primary health care: PI04a-Number of Indigenous children who are fully immunised, June 2020</w:t>
              </w:r>
            </w:hyperlink>
          </w:p>
          <w:p>
            <w:pPr>
              <w:pStyle w:val="registration-status"/>
              <w:spacing w:before="0" w:after="0"/>
            </w:pPr>
            <w:hyperlink w:history="true" r:id="R83f973534edc471d">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ddfd4f32082845dc">
              <w:r>
                <w:rPr>
                  <w:rStyle w:val="Hyperlink"/>
                  <w:color w:val="244061"/>
                </w:rPr>
                <w:t xml:space="preserve">Indigenous</w:t>
              </w:r>
            </w:hyperlink>
            <w:r>
              <w:rPr>
                <w:rStyle w:val="row-content"/>
                <w:color w:val="244061"/>
              </w:rPr>
              <w:t xml:space="preserve">, Superseded 14/07/2021</w:t>
            </w:r>
          </w:p>
          <w:p>
            <w:r>
              <w:br/>
            </w:r>
            <w:hyperlink w:history="true" r:id="Rdcd1537bc74c483c">
              <w:r>
                <w:rPr>
                  <w:rStyle w:val="Hyperlink"/>
                </w:rPr>
                <w:t xml:space="preserve">Indigenous primary health care: PI04b-Proportion of Indigenous children who are fully immunised, June 2020</w:t>
              </w:r>
            </w:hyperlink>
          </w:p>
          <w:p>
            <w:pPr>
              <w:pStyle w:val="registration-status"/>
              <w:spacing w:before="0" w:after="0"/>
            </w:pPr>
            <w:hyperlink w:history="true" r:id="Rda8597fed0654464">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8f5564122a174bc4">
              <w:r>
                <w:rPr>
                  <w:rStyle w:val="Hyperlink"/>
                  <w:color w:val="244061"/>
                </w:rPr>
                <w:t xml:space="preserve">Indigenous</w:t>
              </w:r>
            </w:hyperlink>
            <w:r>
              <w:rPr>
                <w:rStyle w:val="row-content"/>
                <w:color w:val="244061"/>
              </w:rPr>
              <w:t xml:space="preserve">, Superseded 14/07/2021</w:t>
            </w:r>
          </w:p>
          <w:p>
            <w:r>
              <w:br/>
            </w:r>
            <w:hyperlink w:history="true" r:id="R5b46d008eb9c4a14">
              <w:r>
                <w:rPr>
                  <w:rStyle w:val="Hyperlink"/>
                </w:rPr>
                <w:t xml:space="preserve">Indigenous-specific primary health care: PI04a-Number of Indigenous children who are fully immunised, December 2020</w:t>
              </w:r>
            </w:hyperlink>
          </w:p>
          <w:p>
            <w:pPr>
              <w:pStyle w:val="registration-status"/>
              <w:spacing w:before="0" w:after="0"/>
            </w:pPr>
            <w:hyperlink w:history="true" r:id="R5db02893cf184c5a">
              <w:r>
                <w:rPr>
                  <w:rStyle w:val="Hyperlink"/>
                  <w:color w:val="244061"/>
                </w:rPr>
                <w:t xml:space="preserve">Indigenous</w:t>
              </w:r>
            </w:hyperlink>
            <w:r>
              <w:rPr>
                <w:rStyle w:val="row-content"/>
                <w:color w:val="244061"/>
              </w:rPr>
              <w:t xml:space="preserve">, Standard 14/07/2021</w:t>
            </w:r>
          </w:p>
          <w:p>
            <w:r>
              <w:br/>
            </w:r>
            <w:hyperlink w:history="true" r:id="R0d2a62ca9bdd40fb">
              <w:r>
                <w:rPr>
                  <w:rStyle w:val="Hyperlink"/>
                </w:rPr>
                <w:t xml:space="preserve">Indigenous-specific primary health care: PI04b-Proportion of Indigenous children who are fully immunised, December 2020</w:t>
              </w:r>
            </w:hyperlink>
          </w:p>
          <w:p>
            <w:pPr>
              <w:pStyle w:val="registration-status"/>
              <w:spacing w:before="0" w:after="0"/>
            </w:pPr>
            <w:hyperlink w:history="true" r:id="R9743443ff1924486">
              <w:r>
                <w:rPr>
                  <w:rStyle w:val="Hyperlink"/>
                  <w:color w:val="244061"/>
                </w:rPr>
                <w:t xml:space="preserve">Indigenous</w:t>
              </w:r>
            </w:hyperlink>
            <w:r>
              <w:rPr>
                <w:rStyle w:val="row-content"/>
                <w:color w:val="244061"/>
              </w:rPr>
              <w:t xml:space="preserve">, Standard 14/07/2021</w:t>
            </w:r>
          </w:p>
          <w:p>
            <w:r>
              <w:br/>
            </w:r>
          </w:p>
        </w:tc>
      </w:tr>
    </w:tbl>
    <w:p/>
    <w:tbl>
      <w:tblPr>
        <w:tblStyle w:val="TableGrid"/>
        <w:tblW w:w="0" w:type="auto"/>
      </w:tblPr>
    </w:tbl>
    <w:p>
      <w:r>
        <w:br/>
      </w:r>
    </w:p>
    <w:sectPr>
      <w:footerReference xmlns:r="http://schemas.openxmlformats.org/officeDocument/2006/relationships" w:type="default" r:id="Rc47f11e268d442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720830</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94a844748a49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7f11e268d442cf" /><Relationship Type="http://schemas.openxmlformats.org/officeDocument/2006/relationships/header" Target="/word/header1.xml" Id="Ra371cae3755f43a5" /><Relationship Type="http://schemas.openxmlformats.org/officeDocument/2006/relationships/settings" Target="/word/settings.xml" Id="Ra4f5e3b61aaf4aab" /><Relationship Type="http://schemas.openxmlformats.org/officeDocument/2006/relationships/styles" Target="/word/styles.xml" Id="Rab57d2f6f5ce48c6" /><Relationship Type="http://schemas.openxmlformats.org/officeDocument/2006/relationships/numbering" Target="/word/numbering.xml" Id="Ra7948f1bfffd40ad" /><Relationship Type="http://schemas.openxmlformats.org/officeDocument/2006/relationships/hyperlink" Target="https://meteor-uat.aihw.gov.au/RegistrationAuthority/14" TargetMode="External" Id="Rb6150da0397645b8" /><Relationship Type="http://schemas.openxmlformats.org/officeDocument/2006/relationships/hyperlink" Target="https://meteor-uat.aihw.gov.au/RegistrationAuthority/9" TargetMode="External" Id="Ra056aae75b5943c3" /><Relationship Type="http://schemas.openxmlformats.org/officeDocument/2006/relationships/hyperlink" Target="https://meteor-uat.aihw.gov.au/content/457657" TargetMode="External" Id="R89bda2b780794ebd" /><Relationship Type="http://schemas.openxmlformats.org/officeDocument/2006/relationships/hyperlink" Target="https://meteor-uat.aihw.gov.au/content/270732" TargetMode="External" Id="R2ba0b6223bc84d92" /><Relationship Type="http://schemas.openxmlformats.org/officeDocument/2006/relationships/hyperlink" Target="https://www.health.gov.au/health-topics/immunisation/immunisation-throughout-life/national-immunisation-program-schedule" TargetMode="External" Id="Ra1aa5975b84d4832" /><Relationship Type="http://schemas.openxmlformats.org/officeDocument/2006/relationships/hyperlink" Target="https://meteor-uat.aihw.gov.au/content/457664" TargetMode="External" Id="Rc98632f959d74f28" /><Relationship Type="http://schemas.openxmlformats.org/officeDocument/2006/relationships/hyperlink" Target="https://meteor-uat.aihw.gov.au/RegistrationAuthority/14" TargetMode="External" Id="Rb3f92619fc1a463e" /><Relationship Type="http://schemas.openxmlformats.org/officeDocument/2006/relationships/hyperlink" Target="https://meteor-uat.aihw.gov.au/RegistrationAuthority/9" TargetMode="External" Id="R99be41fc84f142dc" /><Relationship Type="http://schemas.openxmlformats.org/officeDocument/2006/relationships/hyperlink" Target="https://meteor-uat.aihw.gov.au/content/715320" TargetMode="External" Id="Rce6000096ba4471b" /><Relationship Type="http://schemas.openxmlformats.org/officeDocument/2006/relationships/hyperlink" Target="https://meteor-uat.aihw.gov.au/RegistrationAuthority/14" TargetMode="External" Id="R8e5c7cf64b354c33" /><Relationship Type="http://schemas.openxmlformats.org/officeDocument/2006/relationships/hyperlink" Target="https://meteor-uat.aihw.gov.au/content/738532" TargetMode="External" Id="Rf50bc5046af54a26" /><Relationship Type="http://schemas.openxmlformats.org/officeDocument/2006/relationships/hyperlink" Target="https://meteor-uat.aihw.gov.au/RegistrationAuthority/9" TargetMode="External" Id="Rf71d05a55cb14284" /><Relationship Type="http://schemas.openxmlformats.org/officeDocument/2006/relationships/hyperlink" Target="https://meteor-uat.aihw.gov.au/content/717277" TargetMode="External" Id="R7545051c86024a42" /><Relationship Type="http://schemas.openxmlformats.org/officeDocument/2006/relationships/hyperlink" Target="https://meteor-uat.aihw.gov.au/RegistrationAuthority/14" TargetMode="External" Id="R83f973534edc471d" /><Relationship Type="http://schemas.openxmlformats.org/officeDocument/2006/relationships/hyperlink" Target="https://meteor-uat.aihw.gov.au/RegistrationAuthority/9" TargetMode="External" Id="Rddfd4f32082845dc" /><Relationship Type="http://schemas.openxmlformats.org/officeDocument/2006/relationships/hyperlink" Target="https://meteor-uat.aihw.gov.au/content/717279" TargetMode="External" Id="Rdcd1537bc74c483c" /><Relationship Type="http://schemas.openxmlformats.org/officeDocument/2006/relationships/hyperlink" Target="https://meteor-uat.aihw.gov.au/RegistrationAuthority/14" TargetMode="External" Id="Rda8597fed0654464" /><Relationship Type="http://schemas.openxmlformats.org/officeDocument/2006/relationships/hyperlink" Target="https://meteor-uat.aihw.gov.au/RegistrationAuthority/9" TargetMode="External" Id="R8f5564122a174bc4" /><Relationship Type="http://schemas.openxmlformats.org/officeDocument/2006/relationships/hyperlink" Target="https://meteor-uat.aihw.gov.au/content/739311" TargetMode="External" Id="R5b46d008eb9c4a14" /><Relationship Type="http://schemas.openxmlformats.org/officeDocument/2006/relationships/hyperlink" Target="https://meteor-uat.aihw.gov.au/RegistrationAuthority/9" TargetMode="External" Id="R5db02893cf184c5a" /><Relationship Type="http://schemas.openxmlformats.org/officeDocument/2006/relationships/hyperlink" Target="https://meteor-uat.aihw.gov.au/content/739342" TargetMode="External" Id="R0d2a62ca9bdd40fb" /><Relationship Type="http://schemas.openxmlformats.org/officeDocument/2006/relationships/hyperlink" Target="https://meteor-uat.aihw.gov.au/RegistrationAuthority/9" TargetMode="External" Id="R9743443ff1924486" /></Relationships>
</file>

<file path=word/_rels/header1.xml.rels>&#65279;<?xml version="1.0" encoding="utf-8"?><Relationships xmlns="http://schemas.openxmlformats.org/package/2006/relationships"><Relationship Type="http://schemas.openxmlformats.org/officeDocument/2006/relationships/image" Target="/media/image.png" Id="R8994a844748a49bd" /></Relationships>
</file>