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61ccba5f524138"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7a-Proportion of patients with a final diagnosis of acute stroke provided with a documented care plan prior to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7a-Proportion of patients with a final diagnosis of acute stroke provided with a documented care plan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7a-Proportion of patients with a final diagnosis of acute stroke provided with a documented care plan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c2186b26b4a04">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80647a4fb74e4fa9">
              <w:r>
                <w:rPr>
                  <w:rStyle w:val="Hyperlink"/>
                  <w:b/>
                </w:rPr>
                <w:t xml:space="preserve">acute stroke</w:t>
              </w:r>
            </w:hyperlink>
            <w:r>
              <w:rPr>
                <w:rStyle w:val="row-content-rich-text"/>
              </w:rPr>
              <w:t xml:space="preserve">, with evidence that a documented plan for their ongoing care in the community was developed with and provided to the patient and/or their carer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68402bb5a4a41ba">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97d3d595d24a6f">
              <w:r>
                <w:rPr>
                  <w:rStyle w:val="Hyperlink"/>
                </w:rPr>
                <w:t xml:space="preserve">Clinical care standard indicators: acute stroke</w:t>
              </w:r>
            </w:hyperlink>
          </w:p>
          <w:p>
            <w:pPr>
              <w:pStyle w:val="registration-status"/>
              <w:spacing w:before="0" w:after="0"/>
            </w:pPr>
            <w:hyperlink w:history="true" r:id="Rdee8ead0f3934d62">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26a798db0ecf4f40">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e5109fa880dc4407">
              <w:r>
                <w:rPr>
                  <w:rStyle w:val="Hyperlink"/>
                </w:rPr>
                <w:t xml:space="preserve">Episode of admitted patient care—separation mode, code N</w:t>
              </w:r>
            </w:hyperlink>
            <w:r>
              <w:rPr>
                <w:rStyle w:val="row-content-rich-text"/>
              </w:rPr>
              <w:t xml:space="preserve"> = 9 Other). Welfare institutions include prisons, hostels and group homes providing primarily welfare services.</w:t>
            </w:r>
          </w:p>
          <w:p>
            <w:pPr>
              <w:spacing w:after="160"/>
            </w:pPr>
            <w:r>
              <w:rPr>
                <w:rStyle w:val="row-content-rich-text"/>
              </w:rPr>
              <w:t xml:space="preserve"> </w:t>
            </w:r>
          </w:p>
          <w:p>
            <w:pPr>
              <w:spacing w:after="160"/>
            </w:pPr>
            <w:r>
              <w:rPr>
                <w:rStyle w:val="row-content-rich-text"/>
              </w:rPr>
              <w:t xml:space="preserve">The</w:t>
            </w:r>
            <w:r>
              <w:rPr>
                <w:rStyle w:val="row-content-rich-text"/>
              </w:rPr>
              <w:t xml:space="preserve"> numerator</w:t>
            </w:r>
            <w:r>
              <w:rPr>
                <w:rStyle w:val="row-content-rich-text"/>
              </w:rPr>
              <w:t xml:space="preserve"> includes patients for whom there is documented evidence that the patient, or</w:t>
            </w:r>
            <w:r>
              <w:rPr>
                <w:rStyle w:val="row-content-rich-text"/>
              </w:rPr>
              <w:t xml:space="preserve"> the</w:t>
            </w:r>
            <w:r>
              <w:rPr>
                <w:rStyle w:val="row-content-rich-text"/>
              </w:rPr>
              <w:t xml:space="preserve"> patients’ family, have received a plan that outlines their </w:t>
            </w:r>
            <w:r>
              <w:rPr>
                <w:rStyle w:val="row-content-rich-text"/>
              </w:rPr>
              <w:t xml:space="preserve">care </w:t>
            </w:r>
            <w:r>
              <w:rPr>
                <w:rStyle w:val="row-content-rich-text"/>
              </w:rPr>
              <w:t xml:space="preserve">in the community post discharge. The </w:t>
            </w:r>
            <w:r>
              <w:rPr>
                <w:rStyle w:val="row-content-rich-text"/>
              </w:rPr>
              <w:t xml:space="preserve">plan should</w:t>
            </w:r>
            <w:r>
              <w:rPr>
                <w:rStyle w:val="row-content-rich-text"/>
              </w:rPr>
              <w:t xml:space="preserve"> have been</w:t>
            </w:r>
            <w:r>
              <w:rPr>
                <w:rStyle w:val="row-content-rich-text"/>
              </w:rPr>
              <w:t xml:space="preserve"> developed </w:t>
            </w:r>
            <w:r>
              <w:rPr>
                <w:rStyle w:val="row-content-rich-text"/>
              </w:rPr>
              <w:t xml:space="preserve">with input from both the multi-disciplinary</w:t>
            </w:r>
            <w:r>
              <w:rPr>
                <w:rStyle w:val="row-content-rich-text"/>
              </w:rPr>
              <w:t xml:space="preserve"> team and</w:t>
            </w:r>
            <w:r>
              <w:rPr>
                <w:rStyle w:val="row-content-rich-text"/>
              </w:rPr>
              <w:t xml:space="preserve"> the patient, or in situations where the patient is no longer able to make decisions, with the family or significant other. </w:t>
            </w:r>
            <w:r>
              <w:rPr>
                <w:rStyle w:val="row-content-rich-text"/>
              </w:rPr>
              <w:t xml:space="preserve"> </w:t>
            </w:r>
            <w:r>
              <w:rPr>
                <w:rStyle w:val="row-content-rich-text"/>
              </w:rPr>
              <w:t xml:space="preserve">The care plan should include the following information:</w:t>
            </w:r>
          </w:p>
          <w:p>
            <w:pPr>
              <w:pStyle w:val="ListParagraph"/>
              <w:numPr>
                <w:ilvl w:val="0"/>
                <w:numId w:val="3"/>
              </w:numPr>
            </w:pPr>
            <w:r>
              <w:rPr>
                <w:rStyle w:val="row-content-rich-text"/>
              </w:rPr>
              <w:t xml:space="preserve">risk factor modification – smoking cessation, diet low in fat and sodium and high in fruits and vegetables, increased regular exercise, adherence to medication and reduced alcohol consumption</w:t>
            </w:r>
          </w:p>
          <w:p>
            <w:pPr>
              <w:pStyle w:val="ListParagraph"/>
              <w:numPr>
                <w:ilvl w:val="0"/>
                <w:numId w:val="3"/>
              </w:numPr>
            </w:pPr>
            <w:r>
              <w:rPr>
                <w:rStyle w:val="row-content-rich-text"/>
              </w:rPr>
              <w:t xml:space="preserve">community services</w:t>
            </w:r>
          </w:p>
          <w:p>
            <w:pPr>
              <w:pStyle w:val="ListParagraph"/>
              <w:numPr>
                <w:ilvl w:val="0"/>
                <w:numId w:val="3"/>
              </w:numPr>
            </w:pPr>
            <w:r>
              <w:rPr>
                <w:rStyle w:val="row-content-rich-text"/>
              </w:rPr>
              <w:t xml:space="preserve">stroke support services</w:t>
            </w:r>
          </w:p>
          <w:p>
            <w:pPr>
              <w:pStyle w:val="ListParagraph"/>
              <w:numPr>
                <w:ilvl w:val="0"/>
                <w:numId w:val="3"/>
              </w:numPr>
            </w:pPr>
            <w:r>
              <w:rPr>
                <w:rStyle w:val="row-content-rich-text"/>
              </w:rPr>
              <w:t xml:space="preserve">further rehabilitation or outpatient appointments</w:t>
            </w:r>
          </w:p>
          <w:p>
            <w:pPr>
              <w:pStyle w:val="ListParagraph"/>
              <w:numPr>
                <w:ilvl w:val="0"/>
                <w:numId w:val="3"/>
              </w:numPr>
            </w:pPr>
            <w:r>
              <w:rPr>
                <w:rStyle w:val="row-content-rich-text"/>
              </w:rPr>
              <w:t xml:space="preserve">appropriate contact numbers</w:t>
            </w:r>
            <w:r>
              <w:rPr>
                <w:rStyle w:val="row-content-rich-text"/>
              </w:rPr>
              <w:t xml:space="preserve"> </w:t>
            </w:r>
          </w:p>
          <w:p>
            <w:pPr>
              <w:pStyle w:val="ListParagraph"/>
              <w:numPr>
                <w:ilvl w:val="0"/>
                <w:numId w:val="3"/>
              </w:numPr>
            </w:pPr>
            <w:r>
              <w:rPr>
                <w:rStyle w:val="row-content-rich-text"/>
              </w:rPr>
              <w:t xml:space="preserve">equipment needed.</w:t>
            </w:r>
          </w:p>
          <w:p>
            <w:pPr>
              <w:spacing w:after="160"/>
            </w:pPr>
            <w:r>
              <w:rPr>
                <w:rStyle w:val="row-content-rich-text"/>
              </w:rPr>
              <w:t xml:space="preserve">The document should not be cofused with a discharge care plan that is a communication tool between hospital staff and other health professionals (e.g. GP’s). </w:t>
            </w:r>
          </w:p>
          <w:p>
            <w:pPr>
              <w:spacing w:after="160"/>
            </w:pPr>
            <w:r>
              <w:rPr>
                <w:rStyle w:val="row-content-rich-text"/>
              </w:rPr>
              <w:t xml:space="preserve">The document should be provided to the patient and/or their carer prior to the patient being separated from hospital (Stroke Foundation 2017).</w:t>
            </w:r>
          </w:p>
          <w:p>
            <w:pPr>
              <w:spacing w:after="160"/>
            </w:pPr>
            <w:r>
              <w:rPr>
                <w:rStyle w:val="row-content-rich-text"/>
              </w:rPr>
              <w:t xml:space="preserve">Both the numerator and denominator exclude stroke patients separated from hospital refusing a care plan.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with evidence that a documented plan for their ongoing care in the community was developed with, and provided to, the patient and/or their carer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Stroke Coalition recommends the use of the My stroke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Stroke Foundation 2017. Clinical guidelines for stroke management. Melbourne: Stroke Foundation</w:t>
            </w:r>
          </w:p>
          <w:p>
            <w:pPr/>
            <w:r>
              <w:rPr>
                <w:rStyle w:val="row-content-rich-text"/>
              </w:rPr>
              <w:t xml:space="preserve"> </w:t>
            </w:r>
          </w:p>
        </w:tc>
      </w:tr>
    </w:tbl>
    <w:p>
      <w:r>
        <w:br/>
      </w:r>
    </w:p>
    <w:sectPr>
      <w:footerReference xmlns:r="http://schemas.openxmlformats.org/officeDocument/2006/relationships" w:type="default" r:id="R6631f48ea30e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42246b336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1f48ea30e4ea8" /><Relationship Type="http://schemas.openxmlformats.org/officeDocument/2006/relationships/header" Target="/word/header1.xml" Id="R6ccbe5d7c9d94893" /><Relationship Type="http://schemas.openxmlformats.org/officeDocument/2006/relationships/settings" Target="/word/settings.xml" Id="Rd861898bf5404107" /><Relationship Type="http://schemas.openxmlformats.org/officeDocument/2006/relationships/styles" Target="/word/styles.xml" Id="R8b06f6de9efd4c27" /><Relationship Type="http://schemas.openxmlformats.org/officeDocument/2006/relationships/numbering" Target="/word/numbering.xml" Id="Re708a1ba975f4dda" /><Relationship Type="http://schemas.openxmlformats.org/officeDocument/2006/relationships/hyperlink" Target="https://meteor-uat.aihw.gov.au/RegistrationAuthority/2" TargetMode="External" Id="R8f0c2186b26b4a04" /><Relationship Type="http://schemas.openxmlformats.org/officeDocument/2006/relationships/hyperlink" Target="https://meteor-uat.aihw.gov.au/content/721343" TargetMode="External" Id="R80647a4fb74e4fa9" /><Relationship Type="http://schemas.openxmlformats.org/officeDocument/2006/relationships/hyperlink" Target="https://meteor-uat.aihw.gov.au/content/327268" TargetMode="External" Id="R568402bb5a4a41ba" /><Relationship Type="http://schemas.openxmlformats.org/officeDocument/2006/relationships/hyperlink" Target="https://meteor-uat.aihw.gov.au/content/719072" TargetMode="External" Id="R4097d3d595d24a6f" /><Relationship Type="http://schemas.openxmlformats.org/officeDocument/2006/relationships/hyperlink" Target="https://meteor-uat.aihw.gov.au/RegistrationAuthority/2" TargetMode="External" Id="Rdee8ead0f3934d62" /><Relationship Type="http://schemas.openxmlformats.org/officeDocument/2006/relationships/hyperlink" Target="https://meteor-uat.aihw.gov.au/content/629525" TargetMode="External" Id="R26a798db0ecf4f40" /><Relationship Type="http://schemas.openxmlformats.org/officeDocument/2006/relationships/hyperlink" Target="https://meteor-uat.aihw.gov.au/content/270094" TargetMode="External" Id="Re5109fa880dc4407" /></Relationships>
</file>

<file path=word/_rels/header1.xml.rels>&#65279;<?xml version="1.0" encoding="utf-8"?><Relationships xmlns="http://schemas.openxmlformats.org/package/2006/relationships"><Relationship Type="http://schemas.openxmlformats.org/officeDocument/2006/relationships/image" Target="/media/image.png" Id="R9c942246b3364b5c" /></Relationships>
</file>