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8833219b344e9d"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5d- Proportion of patients with a final diagnosis of ischaemic stroke on antithrombotic medications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5d- Proportion of patients with a final diagnosis of ischaemic stroke on antithrombotic medications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5d- Proportion of patients with a final diagnosis of ischaemic stroke on antithrombotic medications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fe43521d949c8">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836fccf21da2435f">
              <w:r>
                <w:rPr>
                  <w:rStyle w:val="Hyperlink"/>
                  <w:b/>
                </w:rPr>
                <w:t xml:space="preserve">ischaemic stroke </w:t>
              </w:r>
            </w:hyperlink>
            <w:r>
              <w:rPr>
                <w:rStyle w:val="row-content-rich-text"/>
              </w:rPr>
              <w:t xml:space="preserve">prescribed and administered antithrombotic medications,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ab67ca3a2fc4fd6">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afbe0fbb7d4b35">
              <w:r>
                <w:rPr>
                  <w:rStyle w:val="Hyperlink"/>
                </w:rPr>
                <w:t xml:space="preserve">Clinical care standard indicators: acute stroke</w:t>
              </w:r>
            </w:hyperlink>
          </w:p>
          <w:p>
            <w:pPr>
              <w:pStyle w:val="registration-status"/>
              <w:spacing w:before="0" w:after="0"/>
            </w:pPr>
            <w:hyperlink w:history="true" r:id="R7c21fad98f6b413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w:t>
            </w:r>
          </w:p>
          <w:p>
            <w:pPr>
              <w:spacing w:after="160"/>
            </w:pPr>
            <w:r>
              <w:rPr>
                <w:rStyle w:val="row-content-rich-text"/>
              </w:rPr>
              <w:t xml:space="preserve">The numerator requires evidence of prescription and administration of antithrombotics prior to separation. Antithrombotic medications include: oral anticoagulants, such as warfarin, apixaban, rivaroxaban or dabigatran; and antiplatelet agents, such as aspirin, clopidogrel and dipyridamole.</w:t>
            </w:r>
          </w:p>
          <w:p>
            <w:pPr>
              <w:spacing w:after="160"/>
            </w:pPr>
            <w:r>
              <w:rPr>
                <w:rStyle w:val="row-content-rich-text"/>
              </w:rPr>
              <w:t xml:space="preserve">Both the numerator and the denominator exclude patients for whom antithrombotics are contraindicated (where the contraindication is clearly documented). Contraindications may include:</w:t>
            </w:r>
          </w:p>
          <w:p>
            <w:pPr>
              <w:pStyle w:val="ListParagraph"/>
              <w:numPr>
                <w:ilvl w:val="0"/>
                <w:numId w:val="2"/>
              </w:numPr>
            </w:pPr>
            <w:r>
              <w:rPr>
                <w:rStyle w:val="row-content-rich-text"/>
              </w:rPr>
              <w:t xml:space="preserve">decline treatment</w:t>
            </w:r>
          </w:p>
          <w:p>
            <w:pPr>
              <w:pStyle w:val="ListParagraph"/>
              <w:numPr>
                <w:ilvl w:val="0"/>
                <w:numId w:val="2"/>
              </w:numPr>
            </w:pPr>
            <w:r>
              <w:rPr>
                <w:rStyle w:val="row-content-rich-text"/>
              </w:rPr>
              <w:t xml:space="preserve">where there are limitations of therapy (i.e. advance care directive is enacted and/or the patient is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prescribed and administered antithrombotic medications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1fc9c8f2204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c1873bbe9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c9c8f22044987" /><Relationship Type="http://schemas.openxmlformats.org/officeDocument/2006/relationships/header" Target="/word/header1.xml" Id="Rdb672d4a65aa4d0e" /><Relationship Type="http://schemas.openxmlformats.org/officeDocument/2006/relationships/settings" Target="/word/settings.xml" Id="R0e42cdaff3af4d39" /><Relationship Type="http://schemas.openxmlformats.org/officeDocument/2006/relationships/styles" Target="/word/styles.xml" Id="R2109d95d01454816" /><Relationship Type="http://schemas.openxmlformats.org/officeDocument/2006/relationships/numbering" Target="/word/numbering.xml" Id="Rcd7cf0d160b741e9" /><Relationship Type="http://schemas.openxmlformats.org/officeDocument/2006/relationships/hyperlink" Target="https://meteor-uat.aihw.gov.au/RegistrationAuthority/2" TargetMode="External" Id="R409fe43521d949c8" /><Relationship Type="http://schemas.openxmlformats.org/officeDocument/2006/relationships/hyperlink" Target="https://meteor-uat.aihw.gov.au/content/721349" TargetMode="External" Id="R836fccf21da2435f" /><Relationship Type="http://schemas.openxmlformats.org/officeDocument/2006/relationships/hyperlink" Target="https://meteor-uat.aihw.gov.au/content/327268" TargetMode="External" Id="R8ab67ca3a2fc4fd6" /><Relationship Type="http://schemas.openxmlformats.org/officeDocument/2006/relationships/hyperlink" Target="https://meteor-uat.aihw.gov.au/content/719072" TargetMode="External" Id="Re9afbe0fbb7d4b35" /><Relationship Type="http://schemas.openxmlformats.org/officeDocument/2006/relationships/hyperlink" Target="https://meteor-uat.aihw.gov.au/RegistrationAuthority/2" TargetMode="External" Id="R7c21fad98f6b4133" /></Relationships>
</file>

<file path=word/_rels/header1.xml.rels>&#65279;<?xml version="1.0" encoding="utf-8"?><Relationships xmlns="http://schemas.openxmlformats.org/package/2006/relationships"><Relationship Type="http://schemas.openxmlformats.org/officeDocument/2006/relationships/image" Target="/media/image.png" Id="R4aec1873bbe94cbd" /></Relationships>
</file>