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e5bbeb1c224b5a"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6b-Proportion of patients with a final diagnosis of acute stroke who require assistance with activities of daily living, and whose carer(s) received relevant training prior to separation from hospital, 2019-</w:t>
      </w:r>
    </w:p>
    <w:p>
      <w:pPr>
        <w:pStyle w:val="Subtitle"/>
      </w:pPr>
      <w:r>
        <w:t>Exported from METEOR</w:t>
      </w:r>
    </w:p>
    <w:p>
      <w:pPr>
        <w:pStyle w:val="Subtitle"/>
        <w:spacing w:after="13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6b-Proportion of patients with a final diagnosis of acute stroke who require assistance with activities of daily living, and whose carer(s) received relevant training prior to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6b- Proportion of patients with a final diagnosis of acute stroke who require assistance with activities of daily living, and whose carer(s) received relevant training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142876c9c4738">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bf53e02b23ec4a47">
              <w:r>
                <w:rPr>
                  <w:rStyle w:val="Hyperlink"/>
                  <w:b/>
                </w:rPr>
                <w:t xml:space="preserve">acute stroke </w:t>
              </w:r>
            </w:hyperlink>
            <w:r>
              <w:rPr>
                <w:rStyle w:val="row-content-rich-text"/>
              </w:rPr>
              <w:t xml:space="preserve">who require assistance with activities of daily living, and whose carer(s) received relevant training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299f9a59b0c4b19">
              <w:r>
                <w:rPr>
                  <w:rStyle w:val="Hyperlink"/>
                  <w:b/>
                </w:rPr>
                <w:t xml:space="preserve">separation</w:t>
              </w:r>
            </w:hyperlink>
            <w:r>
              <w:rPr>
                <w:rStyle w:val="row-content-rich-text"/>
              </w:rPr>
              <w:t xml:space="preserv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7d0fe28c6e4a4b">
              <w:r>
                <w:rPr>
                  <w:rStyle w:val="Hyperlink"/>
                </w:rPr>
                <w:t xml:space="preserve">Clinical care standard indicators: acute stroke</w:t>
              </w:r>
            </w:hyperlink>
          </w:p>
          <w:p>
            <w:pPr>
              <w:pStyle w:val="registration-status"/>
              <w:spacing w:before="0" w:after="0"/>
            </w:pPr>
            <w:hyperlink w:history="true" r:id="Rde2dec7203e347b9">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acute stroke</w:t>
            </w:r>
            <w:hyperlink w:tooltip="For the purposes of the Acute stroke clinical care standard (ACSQHC 2015a), an acute stroke occurs when the supply of blood to the brain is suddenly interrupted. This may result in part of the brain dying, leading to a sudden impairment that can affect..." w:history="true" r:id="R8cccd635ff20414f">
              <w:r>
                <w:rPr>
                  <w:rStyle w:val="Hyperlink"/>
                  <w:b/>
                </w:rPr>
                <w:t xml:space="preserve">.</w:t>
              </w:r>
            </w:hyperlink>
            <w:r>
              <w:rPr>
                <w:rStyle w:val="row-content-rich-text"/>
              </w:rPr>
              <w:t xml:space="preserve"> The final diagnosis is made at the hospital where the patient is admitted for the acute phase of management of their stroke.</w:t>
            </w:r>
          </w:p>
          <w:p>
            <w:pPr>
              <w:spacing w:after="160"/>
            </w:pPr>
            <w:r>
              <w:rPr>
                <w:rStyle w:val="row-content-rich-text"/>
              </w:rPr>
              <w:t xml:space="preserve">Both the numerator and the denominator only include patients who require assistance with activities of daily living following their acute stroke.</w:t>
            </w:r>
          </w:p>
          <w:p>
            <w:pPr>
              <w:spacing w:after="160"/>
            </w:pPr>
            <w:r>
              <w:rPr>
                <w:rStyle w:val="row-content-rich-text"/>
              </w:rPr>
              <w:t xml:space="preserve">Both the numerator and the denominator only include patients separated to their usual residence, own accommodation or welfare institution following the acute episode of care, that is, where </w:t>
            </w:r>
            <w:hyperlink w:history="true" r:id="R9ba83263ba094bf9">
              <w:r>
                <w:rPr>
                  <w:rStyle w:val="Hyperlink"/>
                </w:rPr>
                <w:t xml:space="preserve">Episode of admitted patient care—separation mode, code N</w:t>
              </w:r>
            </w:hyperlink>
            <w:r>
              <w:rPr>
                <w:rStyle w:val="row-content-rich-text"/>
              </w:rPr>
              <w:t xml:space="preserve"> = 9 Other.  Welfare institutions includes prisons, hostels and group homes providing primarily welfare services.</w:t>
            </w:r>
          </w:p>
          <w:p>
            <w:pPr>
              <w:spacing w:after="160"/>
            </w:pPr>
            <w:r>
              <w:rPr>
                <w:rStyle w:val="row-content-rich-text"/>
              </w:rPr>
              <w:t xml:space="preserve"> </w:t>
            </w:r>
          </w:p>
          <w:p>
            <w:pPr>
              <w:spacing w:after="160"/>
            </w:pPr>
            <w:r>
              <w:rPr>
                <w:rStyle w:val="row-content-rich-text"/>
              </w:rPr>
              <w:t xml:space="preserve">Both the numerator and denominator exclude:</w:t>
            </w:r>
          </w:p>
          <w:p>
            <w:pPr>
              <w:pStyle w:val="ListParagraph"/>
              <w:numPr>
                <w:ilvl w:val="0"/>
                <w:numId w:val="3"/>
              </w:numPr>
            </w:pPr>
            <w:r>
              <w:rPr>
                <w:rStyle w:val="row-content-rich-text"/>
              </w:rPr>
              <w:t xml:space="preserve">Acute stroke patients separated from hospital who do not have a carer.</w:t>
            </w:r>
          </w:p>
          <w:p>
            <w:pPr>
              <w:pStyle w:val="ListParagraph"/>
              <w:numPr>
                <w:ilvl w:val="0"/>
                <w:numId w:val="3"/>
              </w:numPr>
            </w:pPr>
            <w:r>
              <w:rPr>
                <w:rStyle w:val="row-content-rich-text"/>
              </w:rPr>
              <w:t xml:space="preserve">Patients whose carers do not want training in personal care.</w:t>
            </w:r>
          </w:p>
          <w:p>
            <w:pPr>
              <w:spacing w:after="160"/>
            </w:pPr>
            <w:r>
              <w:rPr>
                <w:rStyle w:val="row-content-rich-text"/>
              </w:rPr>
              <w:t xml:space="preserve"> </w:t>
            </w:r>
          </w:p>
          <w:p>
            <w:pPr>
              <w:spacing w:after="160"/>
            </w:pPr>
            <w:r>
              <w:rPr>
                <w:rStyle w:val="row-content-rich-text"/>
              </w:rPr>
              <w:t xml:space="preserve">For the numerator, carer training should have the following components:</w:t>
            </w:r>
          </w:p>
          <w:p>
            <w:pPr>
              <w:pStyle w:val="ListParagraph"/>
              <w:numPr>
                <w:ilvl w:val="0"/>
                <w:numId w:val="5"/>
              </w:numPr>
            </w:pPr>
            <w:r>
              <w:rPr>
                <w:rStyle w:val="row-content-rich-text"/>
              </w:rPr>
              <w:t xml:space="preserve">personal care techniques</w:t>
            </w:r>
          </w:p>
          <w:p>
            <w:pPr>
              <w:pStyle w:val="ListParagraph"/>
              <w:numPr>
                <w:ilvl w:val="0"/>
                <w:numId w:val="5"/>
              </w:numPr>
            </w:pPr>
            <w:r>
              <w:rPr>
                <w:rStyle w:val="row-content-rich-text"/>
              </w:rPr>
              <w:t xml:space="preserve">communication strategies</w:t>
            </w:r>
          </w:p>
          <w:p>
            <w:pPr>
              <w:pStyle w:val="ListParagraph"/>
              <w:numPr>
                <w:ilvl w:val="0"/>
                <w:numId w:val="5"/>
              </w:numPr>
            </w:pPr>
            <w:r>
              <w:rPr>
                <w:rStyle w:val="row-content-rich-text"/>
              </w:rPr>
              <w:t xml:space="preserve">physical handling techniques</w:t>
            </w:r>
          </w:p>
          <w:p>
            <w:pPr>
              <w:pStyle w:val="ListParagraph"/>
              <w:numPr>
                <w:ilvl w:val="0"/>
                <w:numId w:val="5"/>
              </w:numPr>
            </w:pPr>
            <w:r>
              <w:rPr>
                <w:rStyle w:val="row-content-rich-text"/>
              </w:rPr>
              <w:t xml:space="preserve">ongoing prevention and other stroke-specific problems</w:t>
            </w:r>
          </w:p>
          <w:p>
            <w:pPr>
              <w:pStyle w:val="ListParagraph"/>
              <w:numPr>
                <w:ilvl w:val="0"/>
                <w:numId w:val="5"/>
              </w:numPr>
            </w:pPr>
            <w:r>
              <w:rPr>
                <w:rStyle w:val="row-content-rich-text"/>
              </w:rPr>
              <w:t xml:space="preserve">safe swallowing</w:t>
            </w:r>
          </w:p>
          <w:p>
            <w:pPr>
              <w:pStyle w:val="ListParagraph"/>
              <w:numPr>
                <w:ilvl w:val="0"/>
                <w:numId w:val="5"/>
              </w:numPr>
            </w:pPr>
            <w:r>
              <w:rPr>
                <w:rStyle w:val="row-content-rich-text"/>
              </w:rPr>
              <w:t xml:space="preserve">dietary modification</w:t>
            </w:r>
          </w:p>
          <w:p>
            <w:pPr>
              <w:pStyle w:val="ListParagraph"/>
              <w:numPr>
                <w:ilvl w:val="0"/>
                <w:numId w:val="5"/>
              </w:numPr>
            </w:pPr>
            <w:r>
              <w:rPr>
                <w:rStyle w:val="row-content-rich-text"/>
              </w:rPr>
              <w:t xml:space="preserve">management of behaviours and psychosocial issues (Stroke Foundation 2017).</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who require assistance with activities of daily living and whose carer or carers received training prior to the patient's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requiring assistance with activities of daily living upon seperation from hospital and who have a carer or carers.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Stroke Foundation 2017. Clinical guidelines for stroke management. Melbourne: Stroke Foundation</w:t>
            </w:r>
          </w:p>
        </w:tc>
      </w:tr>
    </w:tbl>
    <w:p>
      <w:r>
        <w:br/>
      </w:r>
    </w:p>
    <w:sectPr>
      <w:footerReference xmlns:r="http://schemas.openxmlformats.org/officeDocument/2006/relationships" w:type="default" r:id="R1542e72274914a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6457334ee040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42e72274914ad5" /><Relationship Type="http://schemas.openxmlformats.org/officeDocument/2006/relationships/header" Target="/word/header1.xml" Id="Rcaa7ea6eb8e94102" /><Relationship Type="http://schemas.openxmlformats.org/officeDocument/2006/relationships/settings" Target="/word/settings.xml" Id="Rc56fc3e52e3f476f" /><Relationship Type="http://schemas.openxmlformats.org/officeDocument/2006/relationships/styles" Target="/word/styles.xml" Id="Rea5c6abb930149e0" /><Relationship Type="http://schemas.openxmlformats.org/officeDocument/2006/relationships/numbering" Target="/word/numbering.xml" Id="Ra6764dfbf51b44ec" /><Relationship Type="http://schemas.openxmlformats.org/officeDocument/2006/relationships/hyperlink" Target="https://meteor-uat.aihw.gov.au/RegistrationAuthority/2" TargetMode="External" Id="R56b142876c9c4738" /><Relationship Type="http://schemas.openxmlformats.org/officeDocument/2006/relationships/hyperlink" Target="https://meteor-uat.aihw.gov.au/content/721343" TargetMode="External" Id="Rbf53e02b23ec4a47" /><Relationship Type="http://schemas.openxmlformats.org/officeDocument/2006/relationships/hyperlink" Target="https://meteor-uat.aihw.gov.au/content/327268" TargetMode="External" Id="R3299f9a59b0c4b19" /><Relationship Type="http://schemas.openxmlformats.org/officeDocument/2006/relationships/hyperlink" Target="https://meteor-uat.aihw.gov.au/content/719072" TargetMode="External" Id="R747d0fe28c6e4a4b" /><Relationship Type="http://schemas.openxmlformats.org/officeDocument/2006/relationships/hyperlink" Target="https://meteor-uat.aihw.gov.au/RegistrationAuthority/2" TargetMode="External" Id="Rde2dec7203e347b9" /><Relationship Type="http://schemas.openxmlformats.org/officeDocument/2006/relationships/hyperlink" Target="https://meteor-uat.aihw.gov.au/content/629525" TargetMode="External" Id="R8cccd635ff20414f" /><Relationship Type="http://schemas.openxmlformats.org/officeDocument/2006/relationships/hyperlink" Target="https://meteor-uat.aihw.gov.au/content/270094" TargetMode="External" Id="R9ba83263ba094bf9" /></Relationships>
</file>

<file path=word/_rels/header1.xml.rels>&#65279;<?xml version="1.0" encoding="utf-8"?><Relationships xmlns="http://schemas.openxmlformats.org/package/2006/relationships"><Relationship Type="http://schemas.openxmlformats.org/officeDocument/2006/relationships/image" Target="/media/image.png" Id="Rcb6457334ee04028" /></Relationships>
</file>