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58aae9be724bc7"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5e- Proportion of patients with a final diagnosis of acute stroke who have documented evidence of advice on risk factor modification prior to separation from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5e- Proportion of patients with a final diagnosis of acute stroke who have documented evidence of advice on risk factor modification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5e- Proportion of patients with a final diagnosis of acute stroke who have documented evidence of advice on risk factor modification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9c89cd9ae4cc9">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24bdefa632024794">
              <w:r>
                <w:rPr>
                  <w:rStyle w:val="Hyperlink"/>
                  <w:b/>
                </w:rPr>
                <w:t xml:space="preserve">acute stroke </w:t>
              </w:r>
            </w:hyperlink>
            <w:r>
              <w:rPr>
                <w:rStyle w:val="row-content-rich-text"/>
              </w:rPr>
              <w:t xml:space="preserve">who have documented evidence of advice on risk factor modification relating to both medications and lifestyle, before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c9a690e4cf44be0">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0b66709a9a4324">
              <w:r>
                <w:rPr>
                  <w:rStyle w:val="Hyperlink"/>
                </w:rPr>
                <w:t xml:space="preserve">Clinical care standard indicators: acute stroke</w:t>
              </w:r>
            </w:hyperlink>
          </w:p>
          <w:p>
            <w:pPr>
              <w:pStyle w:val="registration-status"/>
              <w:spacing w:before="0" w:after="0"/>
            </w:pPr>
            <w:hyperlink w:history="true" r:id="R091ade09eb884e6a">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8ea9eaaddadc4b12">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a496302117384c9d">
              <w:r>
                <w:rPr>
                  <w:rStyle w:val="Hyperlink"/>
                </w:rPr>
                <w:t xml:space="preserve">Episode of admitted patient care—separation mode, code N</w:t>
              </w:r>
            </w:hyperlink>
            <w:r>
              <w:rPr>
                <w:rStyle w:val="row-content-rich-text"/>
              </w:rPr>
              <w:t xml:space="preserve"> = 9 Other). Welfare institutions include prisons, hostels and group homes providing primarily welfare services.</w:t>
            </w:r>
          </w:p>
          <w:p>
            <w:pPr>
              <w:spacing w:after="160"/>
            </w:pPr>
            <w:r>
              <w:rPr>
                <w:rStyle w:val="row-content-rich-text"/>
              </w:rPr>
              <w:t xml:space="preserve">For the numerator, the advice on risk factor or lifestyle modification should include smoking cessation, improved diet, increased regular exercise and reduced alcohol consumption. The advice should be individualised and delivered using behavioural techniques such as educational or motivational counselling (Stroke Foundation 2017). This advice should also be provided to carer(s).</w:t>
            </w:r>
          </w:p>
          <w:p>
            <w:pPr>
              <w:spacing w:after="160"/>
            </w:pPr>
            <w:r>
              <w:rPr>
                <w:rStyle w:val="row-content-rich-text"/>
              </w:rPr>
              <w:t xml:space="preserve">Both the numerator and denominator exclude:</w:t>
            </w:r>
          </w:p>
          <w:p>
            <w:pPr>
              <w:pStyle w:val="ListParagraph"/>
              <w:numPr>
                <w:ilvl w:val="0"/>
                <w:numId w:val="2"/>
              </w:numPr>
            </w:pPr>
            <w:r>
              <w:rPr>
                <w:rStyle w:val="row-content-rich-text"/>
              </w:rPr>
              <w:t xml:space="preserve">Stroke patients with minimal capacity to modify their risk factors. This includes patients whose cognitive impairment or communication difficulties were so great that the patient could not participate in education provided to them.</w:t>
            </w:r>
          </w:p>
          <w:p>
            <w:pPr>
              <w:pStyle w:val="ListParagraph"/>
              <w:numPr>
                <w:ilvl w:val="0"/>
                <w:numId w:val="2"/>
              </w:numPr>
            </w:pPr>
            <w:r>
              <w:rPr>
                <w:rStyle w:val="row-content-rich-text"/>
              </w:rPr>
              <w:t xml:space="preserve">Stroke patients who refuse advice.</w:t>
            </w:r>
          </w:p>
          <w:p>
            <w:pPr>
              <w:pStyle w:val="ListParagraph"/>
              <w:numPr>
                <w:ilvl w:val="0"/>
                <w:numId w:val="2"/>
              </w:numPr>
            </w:pPr>
            <w:r>
              <w:rPr>
                <w:rStyle w:val="row-content-rich-text"/>
              </w:rPr>
              <w:t xml:space="preserve">Patients for whom there are limitations of therapy (i.e. advance care directive is enacted/ the patient is on a palliative care pathway).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have documented evidence of advice on risk factor modification relating to both medications and lifestyle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Stroke Foundation 2017. Clinical guidelines for stroke management. Melbourne: Stroke Foundation</w:t>
            </w:r>
          </w:p>
        </w:tc>
      </w:tr>
    </w:tbl>
    <w:p>
      <w:r>
        <w:br/>
      </w:r>
    </w:p>
    <w:sectPr>
      <w:footerReference xmlns:r="http://schemas.openxmlformats.org/officeDocument/2006/relationships" w:type="default" r:id="R9a4a49d19e64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b23af4539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a49d19e644238" /><Relationship Type="http://schemas.openxmlformats.org/officeDocument/2006/relationships/header" Target="/word/header1.xml" Id="Rfdd52aeab84b40f0" /><Relationship Type="http://schemas.openxmlformats.org/officeDocument/2006/relationships/settings" Target="/word/settings.xml" Id="Rd8c90395624d46ef" /><Relationship Type="http://schemas.openxmlformats.org/officeDocument/2006/relationships/styles" Target="/word/styles.xml" Id="R7642da9a8ee14978" /><Relationship Type="http://schemas.openxmlformats.org/officeDocument/2006/relationships/numbering" Target="/word/numbering.xml" Id="Rda40924c8ea54f20" /><Relationship Type="http://schemas.openxmlformats.org/officeDocument/2006/relationships/hyperlink" Target="https://meteor-uat.aihw.gov.au/RegistrationAuthority/2" TargetMode="External" Id="R73a9c89cd9ae4cc9" /><Relationship Type="http://schemas.openxmlformats.org/officeDocument/2006/relationships/hyperlink" Target="https://meteor-uat.aihw.gov.au/content/721343" TargetMode="External" Id="R24bdefa632024794" /><Relationship Type="http://schemas.openxmlformats.org/officeDocument/2006/relationships/hyperlink" Target="https://meteor-uat.aihw.gov.au/content/327268" TargetMode="External" Id="R3c9a690e4cf44be0" /><Relationship Type="http://schemas.openxmlformats.org/officeDocument/2006/relationships/hyperlink" Target="https://meteor-uat.aihw.gov.au/content/719072" TargetMode="External" Id="R6f0b66709a9a4324" /><Relationship Type="http://schemas.openxmlformats.org/officeDocument/2006/relationships/hyperlink" Target="https://meteor-uat.aihw.gov.au/RegistrationAuthority/2" TargetMode="External" Id="R091ade09eb884e6a" /><Relationship Type="http://schemas.openxmlformats.org/officeDocument/2006/relationships/hyperlink" Target="https://meteor-uat.aihw.gov.au/content/629525" TargetMode="External" Id="R8ea9eaaddadc4b12" /><Relationship Type="http://schemas.openxmlformats.org/officeDocument/2006/relationships/hyperlink" Target="https://meteor-uat.aihw.gov.au/content/270094" TargetMode="External" Id="Ra496302117384c9d" /></Relationships>
</file>

<file path=word/_rels/header1.xml.rels>&#65279;<?xml version="1.0" encoding="utf-8"?><Relationships xmlns="http://schemas.openxmlformats.org/package/2006/relationships"><Relationship Type="http://schemas.openxmlformats.org/officeDocument/2006/relationships/image" Target="/media/image.png" Id="Rd11b23af4539483f" /></Relationships>
</file>