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edfb80e1b841d6"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5a- Proportion of patients with a final diagnosis of acute stroke on blood pressure lowering medication on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5a- Proportion of patients with a final diagnosis of acute stroke on blood pressure lowering medication on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5a- Proportion of patients with a final diagnosis of acute stroke on blood pressure lowering medication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ee1fd3f3343e6">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cadf1062b7cd4398">
              <w:r>
                <w:rPr>
                  <w:rStyle w:val="Hyperlink"/>
                  <w:b/>
                </w:rPr>
                <w:t xml:space="preserve">acute stroke</w:t>
              </w:r>
            </w:hyperlink>
            <w:hyperlink w:tooltip="A haemorrhagic stroke is a type of acute stroke that occurs when an artery begins to bleed. This is as opposed to an ischaemic stroke, where an artery supplying blood to the brain suddenly becomes blocked (AIHW 2013)." w:history="true" r:id="Rd84a97fd206e4e03">
              <w:r>
                <w:rPr>
                  <w:rStyle w:val="Hyperlink"/>
                  <w:b/>
                </w:rPr>
                <w:t xml:space="preserve"> </w:t>
              </w:r>
            </w:hyperlink>
            <w:r>
              <w:rPr>
                <w:rStyle w:val="row-content-rich-text"/>
              </w:rPr>
              <w:t xml:space="preserve">on blood pressure lowering medication, where not contraindicated, 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bdead6e48af45f9">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6c6d9ead4346d5">
              <w:r>
                <w:rPr>
                  <w:rStyle w:val="Hyperlink"/>
                </w:rPr>
                <w:t xml:space="preserve">Clinical care standard indicators: acute stroke</w:t>
              </w:r>
            </w:hyperlink>
          </w:p>
          <w:p>
            <w:pPr>
              <w:pStyle w:val="registration-status"/>
              <w:spacing w:before="0" w:after="0"/>
            </w:pPr>
            <w:hyperlink w:history="true" r:id="Rc11f83b9fc7440c7">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stroke.</w:t>
            </w:r>
          </w:p>
          <w:p>
            <w:pPr>
              <w:spacing w:after="160"/>
            </w:pPr>
            <w:r>
              <w:rPr>
                <w:rStyle w:val="row-content-rich-text"/>
              </w:rPr>
              <w:t xml:space="preserve">The numerator requires evidence of prescription and administration of a blood pressure lowering medication prior to separation.</w:t>
            </w:r>
          </w:p>
          <w:p>
            <w:pPr>
              <w:spacing w:after="160"/>
            </w:pPr>
            <w:r>
              <w:rPr>
                <w:rStyle w:val="row-content-rich-text"/>
              </w:rPr>
              <w:t xml:space="preserve">Blood pressure medications include angiotensin converting enzyme inhibitors (e.g. Perindopril, Ramipril) with or without diuretic and angiotensin II receptor antagonists (e.g. Telmisartan, Losartin) with or without diuretic. Other agents include alpha blockers (e.g. Prazosin), beta blockers (e.g. Atenolol, Metoprolol), calcium channel blockers (e.g. Amlodipine, Diltiazem hydrochloride) and thiazide diuretics.</w:t>
            </w:r>
          </w:p>
          <w:p>
            <w:pPr>
              <w:spacing w:after="160"/>
            </w:pPr>
            <w:r>
              <w:rPr>
                <w:rStyle w:val="row-content-rich-text"/>
              </w:rPr>
              <w:t xml:space="preserve">Both the numerator and the denominator exclude patients for whom blood pressure medication(s) are contraindicated and where the contraindication is clearly documented. </w:t>
            </w:r>
          </w:p>
          <w:p>
            <w:pPr>
              <w:spacing w:after="160"/>
            </w:pPr>
            <w:r>
              <w:rPr>
                <w:rStyle w:val="row-content-rich-text"/>
              </w:rPr>
              <w:t xml:space="preserve">Both the numerator and denominator exclude patients who:</w:t>
            </w:r>
          </w:p>
          <w:p>
            <w:pPr>
              <w:pStyle w:val="ListParagraph"/>
              <w:numPr>
                <w:ilvl w:val="0"/>
                <w:numId w:val="2"/>
              </w:numPr>
            </w:pPr>
            <w:r>
              <w:rPr>
                <w:rStyle w:val="row-content-rich-text"/>
              </w:rPr>
              <w:t xml:space="preserve">declines treatment</w:t>
            </w:r>
          </w:p>
          <w:p>
            <w:pPr>
              <w:pStyle w:val="ListParagraph"/>
              <w:numPr>
                <w:ilvl w:val="0"/>
                <w:numId w:val="2"/>
              </w:numPr>
            </w:pPr>
            <w:r>
              <w:rPr>
                <w:rStyle w:val="row-content-rich-text"/>
              </w:rPr>
              <w:t xml:space="preserve">die in hospital or are placed on a palliative care pathway</w:t>
            </w:r>
          </w:p>
          <w:p>
            <w:pPr>
              <w:pStyle w:val="ListParagraph"/>
              <w:numPr>
                <w:ilvl w:val="0"/>
                <w:numId w:val="2"/>
              </w:numPr>
            </w:pPr>
            <w:r>
              <w:rPr>
                <w:rStyle w:val="row-content-rich-text"/>
              </w:rPr>
              <w:t xml:space="preserve">are contraindicated for blood pressure lowering medication, including symptomatic hypotension and allergic reaction.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stroke on blood pressure lowering medication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stroke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cb3e92678cc9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e0f58dbf6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3e92678cc944c9" /><Relationship Type="http://schemas.openxmlformats.org/officeDocument/2006/relationships/header" Target="/word/header1.xml" Id="R56ea5e12c92440dc" /><Relationship Type="http://schemas.openxmlformats.org/officeDocument/2006/relationships/settings" Target="/word/settings.xml" Id="R087e8a3ab529490a" /><Relationship Type="http://schemas.openxmlformats.org/officeDocument/2006/relationships/styles" Target="/word/styles.xml" Id="Rc1792e42a7f94528" /><Relationship Type="http://schemas.openxmlformats.org/officeDocument/2006/relationships/numbering" Target="/word/numbering.xml" Id="Rda5ea0051df14501" /><Relationship Type="http://schemas.openxmlformats.org/officeDocument/2006/relationships/hyperlink" Target="https://meteor-uat.aihw.gov.au/RegistrationAuthority/2" TargetMode="External" Id="Rfc3ee1fd3f3343e6" /><Relationship Type="http://schemas.openxmlformats.org/officeDocument/2006/relationships/hyperlink" Target="https://meteor-uat.aihw.gov.au/content/721343" TargetMode="External" Id="Rcadf1062b7cd4398" /><Relationship Type="http://schemas.openxmlformats.org/officeDocument/2006/relationships/hyperlink" Target="https://meteor-uat.aihw.gov.au/content/629540" TargetMode="External" Id="Rd84a97fd206e4e03" /><Relationship Type="http://schemas.openxmlformats.org/officeDocument/2006/relationships/hyperlink" Target="https://meteor-uat.aihw.gov.au/content/327268" TargetMode="External" Id="R3bdead6e48af45f9" /><Relationship Type="http://schemas.openxmlformats.org/officeDocument/2006/relationships/hyperlink" Target="https://meteor-uat.aihw.gov.au/content/719072" TargetMode="External" Id="R556c6d9ead4346d5" /><Relationship Type="http://schemas.openxmlformats.org/officeDocument/2006/relationships/hyperlink" Target="https://meteor-uat.aihw.gov.au/RegistrationAuthority/2" TargetMode="External" Id="Rc11f83b9fc7440c7" /></Relationships>
</file>

<file path=word/_rels/header1.xml.rels>&#65279;<?xml version="1.0" encoding="utf-8"?><Relationships xmlns="http://schemas.openxmlformats.org/package/2006/relationships"><Relationship Type="http://schemas.openxmlformats.org/officeDocument/2006/relationships/image" Target="/media/image.png" Id="Ra6ae0f58dbf646c3" /></Relationships>
</file>