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7a40dbd23a4fe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8d21a4a0446d8">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a731899f3a480b">
              <w:r>
                <w:rPr>
                  <w:rStyle w:val="Hyperlink"/>
                </w:rPr>
                <w:t xml:space="preserve">National Indigenous Reform Agreement (2020)</w:t>
              </w:r>
            </w:hyperlink>
          </w:p>
          <w:p>
            <w:pPr>
              <w:pStyle w:val="registration-status"/>
              <w:spacing w:before="0" w:after="0"/>
            </w:pPr>
            <w:hyperlink w:history="true" r:id="R85ed3e6dc6f541fd">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b4284f283b43b9">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a17a886c7d684a7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8f1c8994854a83">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pStyle w:val="registration-status"/>
              <w:spacing w:before="0" w:after="0"/>
            </w:pPr>
            <w:hyperlink w:history="true" r:id="R868142c97d674af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ec0685af1a8140c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9edddaee68043b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b2ca932bb001420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08ee64ec5895404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736d7e824b0c4ec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8f3077961a24a2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72dd3c84f5ca465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6689df96259a41b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8f368afbe99453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6b374fdf199413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756a2939e97947e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1f070a0fc5d4ae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73179c6494bb4df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(2018–19 reporting cycle). Data are presented for:</w:t>
            </w:r>
          </w:p>
          <w:p>
            <w:pPr>
              <w:pStyle w:val="ListParagraph"/>
              <w:numPr>
                <w:ilvl w:val="0"/>
                <w:numId w:val="3"/>
              </w:numPr>
            </w:pPr>
            <w:r>
              <w:rPr>
                <w:rStyle w:val="row-content-rich-text"/>
              </w:rPr>
              <w:t xml:space="preserve">Indigenous: NATSIHS 2018–19.</w:t>
            </w:r>
          </w:p>
          <w:p>
            <w:pPr>
              <w:pStyle w:val="ListParagraph"/>
              <w:numPr>
                <w:ilvl w:val="0"/>
                <w:numId w:val="3"/>
              </w:numPr>
            </w:pPr>
            <w:r>
              <w:rPr>
                <w:rStyle w:val="row-content-rich-text"/>
              </w:rPr>
              <w:t xml:space="preserve">Non-Indigenous: SEW 2018.</w:t>
            </w:r>
          </w:p>
          <w:p>
            <w:pPr>
              <w:spacing w:after="160"/>
            </w:pPr>
            <w:r>
              <w:rPr>
                <w:rStyle w:val="row-content-rich-text"/>
              </w:rPr>
              <w:t xml:space="preserve">The 2018 NIRA report (2016–17 reporting cycle) presented data for:</w:t>
            </w:r>
          </w:p>
          <w:p>
            <w:pPr>
              <w:pStyle w:val="ListParagraph"/>
              <w:numPr>
                <w:ilvl w:val="0"/>
                <w:numId w:val="4"/>
              </w:numPr>
            </w:pPr>
            <w:r>
              <w:rPr>
                <w:rStyle w:val="row-content-rich-text"/>
              </w:rPr>
              <w:t xml:space="preserve">Indigenous: NATSISS 2014–15.</w:t>
            </w:r>
          </w:p>
          <w:p>
            <w:pPr>
              <w:pStyle w:val="ListParagraph"/>
              <w:numPr>
                <w:ilvl w:val="0"/>
                <w:numId w:val="4"/>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5"/>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5"/>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6"/>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6b6a33798b46c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e3c591d11c466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72763e6365b45e8">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835dcd0f3d42e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6209de55e4359">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d365a2234ab94e4c">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5c5d85233c3f436c">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9d653942ba804086">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e1e03077b14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4b64e8745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e03077b14483b" /><Relationship Type="http://schemas.openxmlformats.org/officeDocument/2006/relationships/header" Target="/word/header1.xml" Id="R56881d991d0548a9" /><Relationship Type="http://schemas.openxmlformats.org/officeDocument/2006/relationships/settings" Target="/word/settings.xml" Id="Re1cbb65c564c401e" /><Relationship Type="http://schemas.openxmlformats.org/officeDocument/2006/relationships/styles" Target="/word/styles.xml" Id="Rfa5242d7ac4b469f" /><Relationship Type="http://schemas.openxmlformats.org/officeDocument/2006/relationships/numbering" Target="/word/numbering.xml" Id="Rc2ec132ab6764b8f" /><Relationship Type="http://schemas.openxmlformats.org/officeDocument/2006/relationships/hyperlink" Target="https://meteor-uat.aihw.gov.au/RegistrationAuthority/9" TargetMode="External" Id="R6f08d21a4a0446d8" /><Relationship Type="http://schemas.openxmlformats.org/officeDocument/2006/relationships/hyperlink" Target="https://meteor-uat.aihw.gov.au/content/718468" TargetMode="External" Id="Re9a731899f3a480b" /><Relationship Type="http://schemas.openxmlformats.org/officeDocument/2006/relationships/hyperlink" Target="https://meteor-uat.aihw.gov.au/RegistrationAuthority/9" TargetMode="External" Id="R85ed3e6dc6f541fd" /><Relationship Type="http://schemas.openxmlformats.org/officeDocument/2006/relationships/hyperlink" Target="https://meteor-uat.aihw.gov.au/content/396182" TargetMode="External" Id="Re3b4284f283b43b9" /><Relationship Type="http://schemas.openxmlformats.org/officeDocument/2006/relationships/hyperlink" Target="https://meteor-uat.aihw.gov.au/RegistrationAuthority/9" TargetMode="External" Id="Ra17a886c7d684a7d" /><Relationship Type="http://schemas.openxmlformats.org/officeDocument/2006/relationships/hyperlink" Target="https://meteor-uat.aihw.gov.au/content/726280" TargetMode="External" Id="Rfa8f1c8994854a83" /><Relationship Type="http://schemas.openxmlformats.org/officeDocument/2006/relationships/hyperlink" Target="https://meteor-uat.aihw.gov.au/RegistrationAuthority/9" TargetMode="External" Id="R868142c97d674af2" /><Relationship Type="http://schemas.openxmlformats.org/officeDocument/2006/relationships/hyperlink" Target="https://meteor-uat.aihw.gov.au/content/396601" TargetMode="External" Id="Rec0685af1a8140ce" /><Relationship Type="http://schemas.openxmlformats.org/officeDocument/2006/relationships/hyperlink" Target="https://meteor-uat.aihw.gov.au/content/396601" TargetMode="External" Id="R99edddaee68043bb" /><Relationship Type="http://schemas.openxmlformats.org/officeDocument/2006/relationships/hyperlink" Target="https://meteor-uat.aihw.gov.au/content/396601" TargetMode="External" Id="Rb2ca932bb0014208" /><Relationship Type="http://schemas.openxmlformats.org/officeDocument/2006/relationships/hyperlink" Target="https://meteor-uat.aihw.gov.au/content/396601" TargetMode="External" Id="R08ee64ec58954044" /><Relationship Type="http://schemas.openxmlformats.org/officeDocument/2006/relationships/hyperlink" Target="https://meteor-uat.aihw.gov.au/content/719848" TargetMode="External" Id="R736d7e824b0c4ec8" /><Relationship Type="http://schemas.openxmlformats.org/officeDocument/2006/relationships/hyperlink" Target="https://meteor-uat.aihw.gov.au/content/719848" TargetMode="External" Id="Rd8f3077961a24a22" /><Relationship Type="http://schemas.openxmlformats.org/officeDocument/2006/relationships/hyperlink" Target="https://meteor-uat.aihw.gov.au/content/719848" TargetMode="External" Id="R72dd3c84f5ca4651" /><Relationship Type="http://schemas.openxmlformats.org/officeDocument/2006/relationships/hyperlink" Target="https://meteor-uat.aihw.gov.au/content/719848" TargetMode="External" Id="R6689df96259a41bc" /><Relationship Type="http://schemas.openxmlformats.org/officeDocument/2006/relationships/hyperlink" Target="https://meteor-uat.aihw.gov.au/content/396601" TargetMode="External" Id="R18f368afbe994531" /><Relationship Type="http://schemas.openxmlformats.org/officeDocument/2006/relationships/hyperlink" Target="https://meteor-uat.aihw.gov.au/content/719848" TargetMode="External" Id="Rb6b374fdf1994133" /><Relationship Type="http://schemas.openxmlformats.org/officeDocument/2006/relationships/hyperlink" Target="https://meteor-uat.aihw.gov.au/content/396601" TargetMode="External" Id="R756a2939e97947e9" /><Relationship Type="http://schemas.openxmlformats.org/officeDocument/2006/relationships/hyperlink" Target="https://meteor-uat.aihw.gov.au/content/396601" TargetMode="External" Id="Re1f070a0fc5d4aef" /><Relationship Type="http://schemas.openxmlformats.org/officeDocument/2006/relationships/hyperlink" Target="https://meteor-uat.aihw.gov.au/content/719848" TargetMode="External" Id="R73179c6494bb4dfa" /><Relationship Type="http://schemas.openxmlformats.org/officeDocument/2006/relationships/hyperlink" Target="https://meteor-uat.aihw.gov.au/content/410674" TargetMode="External" Id="R2b6b6a33798b46c1" /><Relationship Type="http://schemas.openxmlformats.org/officeDocument/2006/relationships/hyperlink" Target="https://meteor-uat.aihw.gov.au/content/396601" TargetMode="External" Id="R88e3c591d11c466c" /><Relationship Type="http://schemas.openxmlformats.org/officeDocument/2006/relationships/hyperlink" Target="https://meteor-uat.aihw.gov.au/content/719848" TargetMode="External" Id="Ra72763e6365b45e8" /><Relationship Type="http://schemas.openxmlformats.org/officeDocument/2006/relationships/hyperlink" Target="https://meteor-uat.aihw.gov.au/content/410271" TargetMode="External" Id="Rf5835dcd0f3d42ec" /><Relationship Type="http://schemas.openxmlformats.org/officeDocument/2006/relationships/hyperlink" Target="https://meteor-uat.aihw.gov.au/content/699478" TargetMode="External" Id="R0c86209de55e4359" /><Relationship Type="http://schemas.openxmlformats.org/officeDocument/2006/relationships/hyperlink" Target="https://meteor-uat.aihw.gov.au/RegistrationAuthority/9" TargetMode="External" Id="Rd365a2234ab94e4c" /><Relationship Type="http://schemas.openxmlformats.org/officeDocument/2006/relationships/hyperlink" Target="https://meteor-uat.aihw.gov.au/content/718504" TargetMode="External" Id="R5c5d85233c3f436c" /><Relationship Type="http://schemas.openxmlformats.org/officeDocument/2006/relationships/hyperlink" Target="https://meteor-uat.aihw.gov.au/RegistrationAuthority/9" TargetMode="External" Id="R9d653942ba804086" /></Relationships>
</file>

<file path=word/_rels/header1.xml.rels>&#65279;<?xml version="1.0" encoding="utf-8"?><Relationships xmlns="http://schemas.openxmlformats.org/package/2006/relationships"><Relationship Type="http://schemas.openxmlformats.org/officeDocument/2006/relationships/image" Target="/media/image.png" Id="R0874b64e874549d0" /></Relationships>
</file>