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49a5947174423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fc79ae3a74673">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ba4e55b2254282">
              <w:r>
                <w:rPr>
                  <w:rStyle w:val="Hyperlink"/>
                </w:rPr>
                <w:t xml:space="preserve">National Indigenous Reform Agreement (2020)</w:t>
              </w:r>
            </w:hyperlink>
          </w:p>
          <w:p>
            <w:pPr>
              <w:pStyle w:val="registration-status"/>
              <w:spacing w:before="0" w:after="0"/>
            </w:pPr>
            <w:hyperlink w:history="true" r:id="R248cc1c2f493471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aa0d2560e44dd3">
              <w:r>
                <w:rPr>
                  <w:rStyle w:val="Hyperlink"/>
                </w:rPr>
                <w:t xml:space="preserve">Indigenous children are born and remain healthy</w:t>
              </w:r>
            </w:hyperlink>
          </w:p>
          <w:p>
            <w:pPr>
              <w:pStyle w:val="registration-status"/>
              <w:spacing w:before="0" w:after="0"/>
            </w:pPr>
            <w:hyperlink w:history="true" r:id="Rb606ee08007b4e9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44f762e217483b">
              <w:r>
                <w:rPr>
                  <w:rStyle w:val="Hyperlink"/>
                </w:rPr>
                <w:t xml:space="preserve">National Indigenous Reform Agreement: PI 08-Tobacco smoking during pregnancy, 2020; Quality Statement</w:t>
              </w:r>
            </w:hyperlink>
          </w:p>
          <w:p>
            <w:pPr>
              <w:pStyle w:val="registration-status"/>
              <w:spacing w:before="0" w:after="0"/>
            </w:pPr>
            <w:hyperlink w:history="true" r:id="R6099cc544f0e4ba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e0dbf629e474f80">
              <w:r>
                <w:rPr>
                  <w:rStyle w:val="Hyperlink"/>
                  <w:b/>
                </w:rPr>
                <w:t xml:space="preserve">Age-standardised rate </w:t>
              </w:r>
            </w:hyperlink>
            <w:r>
              <w:rPr>
                <w:rStyle w:val="row-content-rich-text"/>
                <w:b/>
              </w:rPr>
              <w:t xml:space="preserve">(expressed as a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b3ec8fcc6b54038"/>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females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1b228bc449f4b47"/>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females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females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e71b7804a7114b29">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4c9d114e8e3148cb">
              <w:r>
                <w:rPr>
                  <w:rStyle w:val="Hyperlink"/>
                </w:rPr>
                <w:t xml:space="preserve">Female (pregnant)—tobacco smoking indicator (first twenty weeks of pregnancy), yes/no code N</w:t>
              </w:r>
            </w:hyperlink>
          </w:p>
          <w:p>
            <w:r>
              <w:rPr>
                <w:rStyle w:val="row-content"/>
                <w:b/>
              </w:rPr>
              <w:t xml:space="preserve">Data Source</w:t>
            </w:r>
          </w:p>
          <w:p>
            <w:hyperlink w:history="true" r:id="R1c9234f249bd4a4e">
              <w:r>
                <w:rPr>
                  <w:rStyle w:val="Hyperlink"/>
                </w:rPr>
                <w:t xml:space="preserve">AIHW National Perinatal Data Collection (NPDC)</w:t>
              </w:r>
            </w:hyperlink>
          </w:p>
          <w:p>
            <w:r>
              <w:rPr>
                <w:rStyle w:val="row-content"/>
                <w:b/>
              </w:rPr>
              <w:t xml:space="preserve">NMDS / DSS</w:t>
            </w:r>
          </w:p>
          <w:p>
            <w:hyperlink w:history="true" r:id="R2ca2d07662134178">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8256da922364aa7">
              <w:r>
                <w:rPr>
                  <w:rStyle w:val="Hyperlink"/>
                </w:rPr>
                <w:t xml:space="preserve">Female (pregnant)—tobacco smoking indicator (after twenty weeks of pregnancy), yes/no code N</w:t>
              </w:r>
            </w:hyperlink>
          </w:p>
          <w:p>
            <w:r>
              <w:rPr>
                <w:rStyle w:val="row-content"/>
                <w:b/>
              </w:rPr>
              <w:t xml:space="preserve">Data Source</w:t>
            </w:r>
          </w:p>
          <w:p>
            <w:hyperlink w:history="true" r:id="R1a028fe763a3498e">
              <w:r>
                <w:rPr>
                  <w:rStyle w:val="Hyperlink"/>
                </w:rPr>
                <w:t xml:space="preserve">AIHW National Perinatal Data Collection (NPDC)</w:t>
              </w:r>
            </w:hyperlink>
          </w:p>
          <w:p>
            <w:r>
              <w:rPr>
                <w:rStyle w:val="row-content"/>
                <w:b/>
              </w:rPr>
              <w:t xml:space="preserve">NMDS / DSS</w:t>
            </w:r>
          </w:p>
          <w:p>
            <w:hyperlink w:history="true" r:id="Rfcb853602d794780">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621412daf8144df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96d9a1bb2cff4d3b">
              <w:r>
                <w:rPr>
                  <w:rStyle w:val="Hyperlink"/>
                </w:rPr>
                <w:t xml:space="preserve">Female (pregnant)—tobacco smoking indicator (first twenty weeks of pregnancy), yes/no code N</w:t>
              </w:r>
            </w:hyperlink>
          </w:p>
          <w:p>
            <w:r>
              <w:rPr>
                <w:rStyle w:val="row-content"/>
                <w:b/>
              </w:rPr>
              <w:t xml:space="preserve">Data Source</w:t>
            </w:r>
          </w:p>
          <w:p>
            <w:hyperlink w:history="true" r:id="Rdc49fb6ec43b4702">
              <w:r>
                <w:rPr>
                  <w:rStyle w:val="Hyperlink"/>
                </w:rPr>
                <w:t xml:space="preserve">AIHW National Perinatal Data Collection (NPDC)</w:t>
              </w:r>
            </w:hyperlink>
          </w:p>
          <w:p>
            <w:r>
              <w:rPr>
                <w:rStyle w:val="row-content"/>
                <w:b/>
              </w:rPr>
              <w:t xml:space="preserve">NMDS / DSS</w:t>
            </w:r>
          </w:p>
          <w:p>
            <w:hyperlink w:history="true" r:id="R03000d142afd4cd1">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7515779216c4689">
              <w:r>
                <w:rPr>
                  <w:rStyle w:val="Hyperlink"/>
                </w:rPr>
                <w:t xml:space="preserve">Female (pregnant)—tobacco smoking indicator (after twenty weeks of pregnancy), yes/no code N</w:t>
              </w:r>
            </w:hyperlink>
          </w:p>
          <w:p>
            <w:r>
              <w:rPr>
                <w:rStyle w:val="row-content"/>
                <w:b/>
              </w:rPr>
              <w:t xml:space="preserve">Data Source</w:t>
            </w:r>
          </w:p>
          <w:p>
            <w:hyperlink w:history="true" r:id="R5a7afb084b6f4801">
              <w:r>
                <w:rPr>
                  <w:rStyle w:val="Hyperlink"/>
                </w:rPr>
                <w:t xml:space="preserve">AIHW National Perinatal Data Collection (NPDC)</w:t>
              </w:r>
            </w:hyperlink>
          </w:p>
          <w:p>
            <w:r>
              <w:rPr>
                <w:rStyle w:val="row-content"/>
                <w:b/>
              </w:rPr>
              <w:t xml:space="preserve">NMDS / DSS</w:t>
            </w:r>
          </w:p>
          <w:p>
            <w:hyperlink w:history="true" r:id="Ra290b973a7564c3b">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—(2017):</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2015, 2016 (the data for these years have been previously supplied), 2017 (required for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2f14fc2f174b63">
              <w:r>
                <w:rPr>
                  <w:rStyle w:val="Hyperlink"/>
                </w:rPr>
                <w:t xml:space="preserve">Person—Indigenous status, code N</w:t>
              </w:r>
            </w:hyperlink>
          </w:p>
          <w:p>
            <w:r>
              <w:rPr>
                <w:rStyle w:val="row-content"/>
                <w:b/>
              </w:rPr>
              <w:t xml:space="preserve">Data Source</w:t>
            </w:r>
          </w:p>
          <w:p>
            <w:hyperlink w:history="true" r:id="Rd7df7e1e582f468b">
              <w:r>
                <w:rPr>
                  <w:rStyle w:val="Hyperlink"/>
                </w:rPr>
                <w:t xml:space="preserve">AIHW National Perinatal Data Collection (NPDC)</w:t>
              </w:r>
            </w:hyperlink>
          </w:p>
          <w:p>
            <w:r>
              <w:rPr>
                <w:rStyle w:val="row-content"/>
                <w:b/>
              </w:rPr>
              <w:t xml:space="preserve">NMDS / DSS</w:t>
            </w:r>
          </w:p>
          <w:p>
            <w:hyperlink w:history="true" r:id="R4c001dc196af43b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60001223b44909">
              <w:r>
                <w:rPr>
                  <w:rStyle w:val="Hyperlink"/>
                </w:rPr>
                <w:t xml:space="preserve">Person—area of usual residence, statistical area level 2 (SA2) code (ASGS 2016) N(9)</w:t>
              </w:r>
            </w:hyperlink>
          </w:p>
          <w:p>
            <w:r>
              <w:rPr>
                <w:rStyle w:val="row-content"/>
                <w:b/>
              </w:rPr>
              <w:t xml:space="preserve">Data Source</w:t>
            </w:r>
          </w:p>
          <w:p>
            <w:hyperlink w:history="true" r:id="Re1618d1487ae42f9">
              <w:r>
                <w:rPr>
                  <w:rStyle w:val="Hyperlink"/>
                </w:rPr>
                <w:t xml:space="preserve">AIHW National Perinatal Data Collection (NPDC)</w:t>
              </w:r>
            </w:hyperlink>
          </w:p>
          <w:p>
            <w:r>
              <w:rPr>
                <w:rStyle w:val="row-content"/>
                <w:b/>
              </w:rPr>
              <w:t xml:space="preserve">NMDS / DSS</w:t>
            </w:r>
          </w:p>
          <w:p>
            <w:hyperlink w:history="true" r:id="Rd2b70a4fc156433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the Australian Statistical Geography Standard (ASGS) 2016 from 2017; the ASGS 2011 from 2012 to 2016; and the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bea05042cb46a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48f0e7c505432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669943ab6843f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bad8ceaddb0944aa">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d29b96c2554c46">
              <w:r>
                <w:rPr>
                  <w:rStyle w:val="Hyperlink"/>
                </w:rPr>
                <w:t xml:space="preserve">National Indigenous Reform Agreement: PI 08-Tobacco smoking during pregnancy, 2019</w:t>
              </w:r>
            </w:hyperlink>
          </w:p>
          <w:p>
            <w:pPr>
              <w:pStyle w:val="registration-status"/>
              <w:spacing w:before="0" w:after="0"/>
            </w:pPr>
            <w:hyperlink w:history="true" r:id="Rc0e3e6eb823f4550">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2976d587c265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4b9892c6f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6d587c26540e3" /><Relationship Type="http://schemas.openxmlformats.org/officeDocument/2006/relationships/header" Target="/word/header1.xml" Id="R7ef460e31b5246d2" /><Relationship Type="http://schemas.openxmlformats.org/officeDocument/2006/relationships/settings" Target="/word/settings.xml" Id="R41568807d7844ad3" /><Relationship Type="http://schemas.openxmlformats.org/officeDocument/2006/relationships/styles" Target="/word/styles.xml" Id="R76b4aebdd20f460d" /><Relationship Type="http://schemas.openxmlformats.org/officeDocument/2006/relationships/image" Target="/media/image.jpg" Id="Rab3ec8fcc6b54038" /><Relationship Type="http://schemas.openxmlformats.org/officeDocument/2006/relationships/image" Target="/media/image2.jpg" Id="Rb1b228bc449f4b47" /><Relationship Type="http://schemas.openxmlformats.org/officeDocument/2006/relationships/numbering" Target="/word/numbering.xml" Id="R717bb02026c440ad" /><Relationship Type="http://schemas.openxmlformats.org/officeDocument/2006/relationships/hyperlink" Target="https://meteor-uat.aihw.gov.au/RegistrationAuthority/9" TargetMode="External" Id="R1d7fc79ae3a74673" /><Relationship Type="http://schemas.openxmlformats.org/officeDocument/2006/relationships/hyperlink" Target="https://meteor-uat.aihw.gov.au/content/718468" TargetMode="External" Id="Refba4e55b2254282" /><Relationship Type="http://schemas.openxmlformats.org/officeDocument/2006/relationships/hyperlink" Target="https://meteor-uat.aihw.gov.au/RegistrationAuthority/9" TargetMode="External" Id="R248cc1c2f4934713" /><Relationship Type="http://schemas.openxmlformats.org/officeDocument/2006/relationships/hyperlink" Target="https://meteor-uat.aihw.gov.au/content/396166" TargetMode="External" Id="R1faa0d2560e44dd3" /><Relationship Type="http://schemas.openxmlformats.org/officeDocument/2006/relationships/hyperlink" Target="https://meteor-uat.aihw.gov.au/RegistrationAuthority/9" TargetMode="External" Id="Rb606ee08007b4e94" /><Relationship Type="http://schemas.openxmlformats.org/officeDocument/2006/relationships/hyperlink" Target="https://meteor-uat.aihw.gov.au/content/726260" TargetMode="External" Id="R5d44f762e217483b" /><Relationship Type="http://schemas.openxmlformats.org/officeDocument/2006/relationships/hyperlink" Target="https://meteor-uat.aihw.gov.au/RegistrationAuthority/9" TargetMode="External" Id="R6099cc544f0e4baf" /><Relationship Type="http://schemas.openxmlformats.org/officeDocument/2006/relationships/hyperlink" Target="https://meteor-uat.aihw.gov.au/content/327276" TargetMode="External" Id="R2e0dbf629e474f80" /><Relationship Type="http://schemas.openxmlformats.org/officeDocument/2006/relationships/hyperlink" Target="https://meteor-uat.aihw.gov.au/content/392479" TargetMode="External" Id="Re71b7804a7114b29" /><Relationship Type="http://schemas.openxmlformats.org/officeDocument/2006/relationships/hyperlink" Target="https://meteor-uat.aihw.gov.au/content/365404" TargetMode="External" Id="R4c9d114e8e3148cb" /><Relationship Type="http://schemas.openxmlformats.org/officeDocument/2006/relationships/hyperlink" Target="https://meteor-uat.aihw.gov.au/content/392479" TargetMode="External" Id="R1c9234f249bd4a4e" /><Relationship Type="http://schemas.openxmlformats.org/officeDocument/2006/relationships/hyperlink" Target="https://meteor-uat.aihw.gov.au/content/517456" TargetMode="External" Id="R2ca2d07662134178" /><Relationship Type="http://schemas.openxmlformats.org/officeDocument/2006/relationships/hyperlink" Target="https://meteor-uat.aihw.gov.au/content/365417" TargetMode="External" Id="R98256da922364aa7" /><Relationship Type="http://schemas.openxmlformats.org/officeDocument/2006/relationships/hyperlink" Target="https://meteor-uat.aihw.gov.au/content/392479" TargetMode="External" Id="R1a028fe763a3498e" /><Relationship Type="http://schemas.openxmlformats.org/officeDocument/2006/relationships/hyperlink" Target="https://meteor-uat.aihw.gov.au/content/517456" TargetMode="External" Id="Rfcb853602d794780" /><Relationship Type="http://schemas.openxmlformats.org/officeDocument/2006/relationships/hyperlink" Target="https://meteor-uat.aihw.gov.au/content/392479" TargetMode="External" Id="R621412daf8144df1" /><Relationship Type="http://schemas.openxmlformats.org/officeDocument/2006/relationships/hyperlink" Target="https://meteor-uat.aihw.gov.au/content/365404" TargetMode="External" Id="R96d9a1bb2cff4d3b" /><Relationship Type="http://schemas.openxmlformats.org/officeDocument/2006/relationships/hyperlink" Target="https://meteor-uat.aihw.gov.au/content/392479" TargetMode="External" Id="Rdc49fb6ec43b4702" /><Relationship Type="http://schemas.openxmlformats.org/officeDocument/2006/relationships/hyperlink" Target="https://meteor-uat.aihw.gov.au/content/517456" TargetMode="External" Id="R03000d142afd4cd1" /><Relationship Type="http://schemas.openxmlformats.org/officeDocument/2006/relationships/hyperlink" Target="https://meteor-uat.aihw.gov.au/content/365417" TargetMode="External" Id="R77515779216c4689" /><Relationship Type="http://schemas.openxmlformats.org/officeDocument/2006/relationships/hyperlink" Target="https://meteor-uat.aihw.gov.au/content/392479" TargetMode="External" Id="R5a7afb084b6f4801" /><Relationship Type="http://schemas.openxmlformats.org/officeDocument/2006/relationships/hyperlink" Target="https://meteor-uat.aihw.gov.au/content/517456" TargetMode="External" Id="Ra290b973a7564c3b" /><Relationship Type="http://schemas.openxmlformats.org/officeDocument/2006/relationships/hyperlink" Target="https://meteor-uat.aihw.gov.au/content/291036" TargetMode="External" Id="R292f14fc2f174b63" /><Relationship Type="http://schemas.openxmlformats.org/officeDocument/2006/relationships/hyperlink" Target="https://meteor-uat.aihw.gov.au/content/392479" TargetMode="External" Id="Rd7df7e1e582f468b" /><Relationship Type="http://schemas.openxmlformats.org/officeDocument/2006/relationships/hyperlink" Target="https://meteor-uat.aihw.gov.au/content/517456" TargetMode="External" Id="R4c001dc196af43b2" /><Relationship Type="http://schemas.openxmlformats.org/officeDocument/2006/relationships/hyperlink" Target="https://meteor-uat.aihw.gov.au/content/659725" TargetMode="External" Id="R3560001223b44909" /><Relationship Type="http://schemas.openxmlformats.org/officeDocument/2006/relationships/hyperlink" Target="https://meteor-uat.aihw.gov.au/content/392479" TargetMode="External" Id="Re1618d1487ae42f9" /><Relationship Type="http://schemas.openxmlformats.org/officeDocument/2006/relationships/hyperlink" Target="https://meteor-uat.aihw.gov.au/content/517456" TargetMode="External" Id="Rd2b70a4fc156433a" /><Relationship Type="http://schemas.openxmlformats.org/officeDocument/2006/relationships/hyperlink" Target="https://meteor-uat.aihw.gov.au/content/410676" TargetMode="External" Id="R0cbea05042cb46a6" /><Relationship Type="http://schemas.openxmlformats.org/officeDocument/2006/relationships/hyperlink" Target="https://meteor-uat.aihw.gov.au/content/392479" TargetMode="External" Id="Rda48f0e7c5054325" /><Relationship Type="http://schemas.openxmlformats.org/officeDocument/2006/relationships/hyperlink" Target="https://meteor-uat.aihw.gov.au/content/410271" TargetMode="External" Id="R3b669943ab6843fd" /><Relationship Type="http://schemas.openxmlformats.org/officeDocument/2006/relationships/hyperlink" Target="http://publications.iarc.fr/Book-And-Report-Series/Iarc-Scientific-Publications/Statistical-Methods-In-Cancer-Research-Volume-II-The-Design-And-Analysis-Of-Cohort-Studies-1986" TargetMode="External" Id="Rbad8ceaddb0944aa" /><Relationship Type="http://schemas.openxmlformats.org/officeDocument/2006/relationships/hyperlink" Target="https://meteor-uat.aihw.gov.au/content/699456" TargetMode="External" Id="R75d29b96c2554c46" /><Relationship Type="http://schemas.openxmlformats.org/officeDocument/2006/relationships/hyperlink" Target="https://meteor-uat.aihw.gov.au/RegistrationAuthority/9" TargetMode="External" Id="Rc0e3e6eb823f4550" /></Relationships>
</file>

<file path=word/_rels/header1.xml.rels>&#65279;<?xml version="1.0" encoding="utf-8"?><Relationships xmlns="http://schemas.openxmlformats.org/package/2006/relationships"><Relationship Type="http://schemas.openxmlformats.org/officeDocument/2006/relationships/image" Target="/media/image.png" Id="R0b94b9892c6f425b" /></Relationships>
</file>