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62fe0168f4a81"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c9d4d095e481f">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6856067f9248b6">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c4ee23ff9c4066">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6370216a73cf4242">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207bba10499048bd">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6a2cbaa67f644101">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38f5f429464957">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b0a0a9daba21435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3ac445173f74c28">
              <w:r>
                <w:rPr>
                  <w:rStyle w:val="Hyperlink"/>
                </w:rPr>
                <w:t xml:space="preserve">Establishment—total recurrent expenditure, National Health Reform Agreement 2011 product streams code N[N]</w:t>
              </w:r>
            </w:hyperlink>
          </w:p>
          <w:p>
            <w:pPr>
              <w:pStyle w:val="registration-status"/>
              <w:spacing w:before="0" w:after="0"/>
            </w:pPr>
            <w:hyperlink w:history="true" r:id="Rfe749390619c4f0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0f35bec0d51a4497">
              <w:r>
                <w:rPr>
                  <w:rStyle w:val="Hyperlink"/>
                </w:rPr>
                <w:t xml:space="preserve">Establishment—total recurrent expenditure, National Health Reform Agreement 2011 product streams code N[N]</w:t>
              </w:r>
            </w:hyperlink>
          </w:p>
          <w:p>
            <w:pPr>
              <w:pStyle w:val="registration-status"/>
              <w:spacing w:before="0" w:after="0"/>
            </w:pPr>
            <w:hyperlink w:history="true" r:id="Rc51965fb50364a5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4f186bcfdb402c">
              <w:r>
                <w:rPr>
                  <w:rStyle w:val="Hyperlink"/>
                </w:rPr>
                <w:t xml:space="preserve">Recurrent contracted care expenditure data element cluster</w:t>
              </w:r>
            </w:hyperlink>
          </w:p>
          <w:p>
            <w:pPr>
              <w:pStyle w:val="registration-status"/>
              <w:spacing w:before="0" w:after="0"/>
            </w:pPr>
            <w:hyperlink w:history="true" r:id="R5456513b42cd4fd4">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9c89ba14d512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22208eee2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9ba14d5124a4d" /><Relationship Type="http://schemas.openxmlformats.org/officeDocument/2006/relationships/header" Target="/word/header1.xml" Id="R4575bb211972489c" /><Relationship Type="http://schemas.openxmlformats.org/officeDocument/2006/relationships/settings" Target="/word/settings.xml" Id="R335d5624281e4bdc" /><Relationship Type="http://schemas.openxmlformats.org/officeDocument/2006/relationships/styles" Target="/word/styles.xml" Id="R809770d1c1ea4ed3" /><Relationship Type="http://schemas.openxmlformats.org/officeDocument/2006/relationships/numbering" Target="/word/numbering.xml" Id="Re8f8f36aa9d44a0b" /><Relationship Type="http://schemas.openxmlformats.org/officeDocument/2006/relationships/hyperlink" Target="https://meteor-uat.aihw.gov.au/RegistrationAuthority/14" TargetMode="External" Id="Rd02c9d4d095e481f" /><Relationship Type="http://schemas.openxmlformats.org/officeDocument/2006/relationships/hyperlink" Target="https://meteor-uat.aihw.gov.au/content/686231" TargetMode="External" Id="R8f6856067f9248b6" /><Relationship Type="http://schemas.openxmlformats.org/officeDocument/2006/relationships/hyperlink" Target="https://meteor-uat.aihw.gov.au/content/718098" TargetMode="External" Id="Rd6c4ee23ff9c4066" /><Relationship Type="http://schemas.openxmlformats.org/officeDocument/2006/relationships/hyperlink" Target="https://www.ihpa.gov.au/publications/national-efficient-price-determination-2019-20" TargetMode="External" Id="R6370216a73cf4242" /><Relationship Type="http://schemas.openxmlformats.org/officeDocument/2006/relationships/hyperlink" Target="https://www.ihpa.gov.au/publications/national-efficient-cost-determination-2019-20" TargetMode="External" Id="R207bba10499048bd" /><Relationship Type="http://schemas.openxmlformats.org/officeDocument/2006/relationships/hyperlink" Target="https://www.ihpa.gov.au/publications/national-pricing-model-technical-specifications-2019-20" TargetMode="External" Id="R6a2cbaa67f644101" /><Relationship Type="http://schemas.openxmlformats.org/officeDocument/2006/relationships/hyperlink" Target="https://meteor-uat.aihw.gov.au/content/706373" TargetMode="External" Id="Rd038f5f429464957" /><Relationship Type="http://schemas.openxmlformats.org/officeDocument/2006/relationships/hyperlink" Target="https://meteor-uat.aihw.gov.au/RegistrationAuthority/14" TargetMode="External" Id="Rb0a0a9daba21435d" /><Relationship Type="http://schemas.openxmlformats.org/officeDocument/2006/relationships/hyperlink" Target="https://meteor-uat.aihw.gov.au/content/718194" TargetMode="External" Id="R73ac445173f74c28" /><Relationship Type="http://schemas.openxmlformats.org/officeDocument/2006/relationships/hyperlink" Target="https://meteor-uat.aihw.gov.au/RegistrationAuthority/14" TargetMode="External" Id="Rfe749390619c4f08" /><Relationship Type="http://schemas.openxmlformats.org/officeDocument/2006/relationships/hyperlink" Target="https://meteor-uat.aihw.gov.au/content/706378" TargetMode="External" Id="R0f35bec0d51a4497" /><Relationship Type="http://schemas.openxmlformats.org/officeDocument/2006/relationships/hyperlink" Target="https://meteor-uat.aihw.gov.au/RegistrationAuthority/14" TargetMode="External" Id="Rc51965fb50364a5d" /><Relationship Type="http://schemas.openxmlformats.org/officeDocument/2006/relationships/hyperlink" Target="https://meteor-uat.aihw.gov.au/content/718014" TargetMode="External" Id="R6e4f186bcfdb402c" /><Relationship Type="http://schemas.openxmlformats.org/officeDocument/2006/relationships/hyperlink" Target="https://meteor-uat.aihw.gov.au/RegistrationAuthority/14" TargetMode="External" Id="R5456513b42cd4fd4" /></Relationships>
</file>

<file path=word/_rels/header1.xml.rels>&#65279;<?xml version="1.0" encoding="utf-8"?><Relationships xmlns="http://schemas.openxmlformats.org/package/2006/relationships"><Relationship Type="http://schemas.openxmlformats.org/officeDocument/2006/relationships/image" Target="/media/image.png" Id="R30c22208eee2413d" /></Relationships>
</file>