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6da8221aa4100"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841daa0d14d4053">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2</w:t>
                  </w:r>
                </w:p>
              </w:tc>
              <w:tc>
                <w:tcPr>
                  <w:tcMar/>
                  <w:vAlign w:val="top"/>
                </w:tcPr>
                <w:p>
                  <w:hyperlink w:history="true" r:id="R70270ea3fdb54817">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3</w:t>
                  </w:r>
                </w:p>
              </w:tc>
              <w:tc>
                <w:tcPr>
                  <w:tcMar/>
                  <w:vAlign w:val="top"/>
                </w:tcPr>
                <w:p>
                  <w:hyperlink w:history="true" r:id="R87c81e3742c849a3">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dfe4976564604f9c">
                    <w:r>
                      <w:rPr>
                        <w:rStyle w:val="Hyperlink"/>
                      </w:rPr>
                      <w:t xml:space="preserve">Admission source</w:t>
                    </w:r>
                  </w:hyperlink>
                </w:p>
              </w:tc>
              <w:tc>
                <w:tcPr>
                  <w:vAlign w:val="top"/>
                </w:tcPr>
                <w:p>
                  <w:r>
                    <w:t xml:space="preserve">431562</w:t>
                  </w:r>
                </w:p>
              </w:tc>
              <w:tc>
                <w:tcPr>
                  <w:vAlign w:val="top"/>
                </w:tcPr>
                <w:p>
                  <w:r>
                    <w:t xml:space="preserve">String
[10]</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ACF </w:t>
                        </w:r>
                      </w:p>
                    </w:tc>
                    <w:tc>
                      <w:tcPr>
                        <w:tcBorders>
                          <w:top w:val="none" w:color="000000" w:sz="0"/>
                          <w:left w:val="none" w:color="000000" w:sz="0"/>
                          <w:bottom w:val="none" w:color="000000" w:sz="0"/>
                          <w:right w:val="none" w:color="000000" w:sz="0"/>
                        </w:tcBorders>
                        <w:tcMar/>
                        <w:vAlign w:val="top"/>
                      </w:tcPr>
                      <w:p>
                        <w:r>
                          <w:t xml:space="preserve">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CCA </w:t>
                        </w:r>
                      </w:p>
                    </w:tc>
                    <w:tc>
                      <w:tcPr>
                        <w:tcBorders>
                          <w:top w:val="none" w:color="000000" w:sz="0"/>
                          <w:left w:val="none" w:color="000000" w:sz="0"/>
                          <w:bottom w:val="none" w:color="000000" w:sz="0"/>
                          <w:right w:val="none" w:color="000000" w:sz="0"/>
                        </w:tcBorders>
                        <w:tcMar/>
                        <w:vAlign w:val="top"/>
                      </w:tcPr>
                      <w:p>
                        <w:r>
                          <w:t xml:space="preserve">Contracted care admission</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CS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ED </w:t>
                        </w:r>
                      </w:p>
                    </w:tc>
                    <w:tc>
                      <w:tcPr>
                        <w:tcBorders>
                          <w:top w:val="none" w:color="000000" w:sz="0"/>
                          <w:left w:val="none" w:color="000000" w:sz="0"/>
                          <w:bottom w:val="none" w:color="000000" w:sz="0"/>
                          <w:right w:val="none" w:color="000000" w:sz="0"/>
                        </w:tcBorders>
                        <w:tcMar/>
                        <w:vAlign w:val="top"/>
                      </w:tcPr>
                      <w:p>
                        <w:r>
                          <w:t xml:space="preserve">Department of emergency medicine</w:t>
                        </w:r>
                      </w:p>
                    </w:tc>
                  </w:tr>
                  <w:tr>
                    <w:trPr/>
                    <w:tc>
                      <w:tcPr>
                        <w:tcW w:w="1000" w:type="pct"/>
                        <w:tcBorders>
                          <w:top w:val="none" w:color="000000" w:sz="0"/>
                          <w:left w:val="none" w:color="000000" w:sz="0"/>
                          <w:bottom w:val="none" w:color="000000" w:sz="0"/>
                          <w:right w:val="none" w:color="000000" w:sz="0"/>
                        </w:tcBorders>
                        <w:tcMar/>
                        <w:vAlign w:val="top"/>
                      </w:tcPr>
                      <w:p>
                        <w:r>
                          <w:t xml:space="preserve">LAW </w:t>
                        </w:r>
                      </w:p>
                    </w:tc>
                    <w:tc>
                      <w:tcPr>
                        <w:tcBorders>
                          <w:top w:val="none" w:color="000000" w:sz="0"/>
                          <w:left w:val="none" w:color="000000" w:sz="0"/>
                          <w:bottom w:val="none" w:color="000000" w:sz="0"/>
                          <w:right w:val="none" w:color="000000" w:sz="0"/>
                        </w:tcBorders>
                        <w:tcMar/>
                        <w:vAlign w:val="top"/>
                      </w:tcPr>
                      <w:p>
                        <w:r>
                          <w:t xml:space="preserve">Law enforcement agency </w:t>
                        </w:r>
                      </w:p>
                    </w:tc>
                  </w:tr>
                  <w:tr>
                    <w:trPr/>
                    <w:tc>
                      <w:tcPr>
                        <w:tcW w:w="1000" w:type="pct"/>
                        <w:tcBorders>
                          <w:top w:val="none" w:color="000000" w:sz="0"/>
                          <w:left w:val="none" w:color="000000" w:sz="0"/>
                          <w:bottom w:val="none" w:color="000000" w:sz="0"/>
                          <w:right w:val="none" w:color="000000" w:sz="0"/>
                        </w:tcBorders>
                        <w:tcMar/>
                        <w:vAlign w:val="top"/>
                      </w:tcPr>
                      <w:p>
                        <w:r>
                          <w:t xml:space="preserve">NEWB </w:t>
                        </w:r>
                      </w:p>
                    </w:tc>
                    <w:tc>
                      <w:tcPr>
                        <w:tcBorders>
                          <w:top w:val="none" w:color="000000" w:sz="0"/>
                          <w:left w:val="none" w:color="000000" w:sz="0"/>
                          <w:bottom w:val="none" w:color="000000" w:sz="0"/>
                          <w:right w:val="none" w:color="000000" w:sz="0"/>
                        </w:tcBorders>
                        <w:tcMar/>
                        <w:vAlign w:val="top"/>
                      </w:tcPr>
                      <w:p>
                        <w:r>
                          <w:t xml:space="preserve">Newborn</w:t>
                        </w:r>
                      </w:p>
                    </w:tc>
                  </w:tr>
                  <w:tr>
                    <w:trPr/>
                    <w:tc>
                      <w:tcPr>
                        <w:tcW w:w="1000" w:type="pct"/>
                        <w:tcBorders>
                          <w:top w:val="none" w:color="000000" w:sz="0"/>
                          <w:left w:val="none" w:color="000000" w:sz="0"/>
                          <w:bottom w:val="none" w:color="000000" w:sz="0"/>
                          <w:right w:val="none" w:color="000000" w:sz="0"/>
                        </w:tcBorders>
                        <w:tcMar/>
                        <w:vAlign w:val="top"/>
                      </w:tcPr>
                      <w:p>
                        <w:r>
                          <w:t xml:space="preserve">NR </w:t>
                        </w:r>
                      </w:p>
                    </w:tc>
                    <w:tc>
                      <w:tcPr>
                        <w:tcBorders>
                          <w:top w:val="none" w:color="000000" w:sz="0"/>
                          <w:left w:val="none" w:color="000000" w:sz="0"/>
                          <w:bottom w:val="none" w:color="000000" w:sz="0"/>
                          <w:right w:val="none" w:color="000000" w:sz="0"/>
                        </w:tcBorders>
                        <w:tcMar/>
                        <w:vAlign w:val="top"/>
                      </w:tcPr>
                      <w:p>
                        <w:r>
                          <w:t xml:space="preserve">No referral</w:t>
                        </w:r>
                      </w:p>
                    </w:tc>
                  </w:tr>
                  <w:tr>
                    <w:trPr/>
                    <w:tc>
                      <w:tcPr>
                        <w:tcW w:w="1000" w:type="pct"/>
                        <w:tcBorders>
                          <w:top w:val="none" w:color="000000" w:sz="0"/>
                          <w:left w:val="none" w:color="000000" w:sz="0"/>
                          <w:bottom w:val="none" w:color="000000" w:sz="0"/>
                          <w:right w:val="none" w:color="000000" w:sz="0"/>
                        </w:tcBorders>
                        <w:tcMar/>
                        <w:vAlign w:val="top"/>
                      </w:tcPr>
                      <w:p>
                        <w:r>
                          <w:t xml:space="preserve">OPDD </w:t>
                        </w:r>
                      </w:p>
                    </w:tc>
                    <w:tc>
                      <w:tcPr>
                        <w:tcBorders>
                          <w:top w:val="none" w:color="000000" w:sz="0"/>
                          <w:left w:val="none" w:color="000000" w:sz="0"/>
                          <w:bottom w:val="none" w:color="000000" w:sz="0"/>
                          <w:right w:val="none" w:color="000000" w:sz="0"/>
                        </w:tcBorders>
                        <w:tcMar/>
                        <w:vAlign w:val="top"/>
                      </w:tcPr>
                      <w:p>
                        <w:r>
                          <w:t xml:space="preserve">Outpatients department</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OTHHEA </w:t>
                        </w:r>
                      </w:p>
                    </w:tc>
                    <w:tc>
                      <w:tcPr>
                        <w:tcBorders>
                          <w:top w:val="none" w:color="000000" w:sz="0"/>
                          <w:left w:val="none" w:color="000000" w:sz="0"/>
                          <w:bottom w:val="none" w:color="000000" w:sz="0"/>
                          <w:right w:val="none" w:color="000000" w:sz="0"/>
                        </w:tcBorders>
                        <w:tcMar/>
                        <w:vAlign w:val="top"/>
                      </w:tcPr>
                      <w:p>
                        <w:r>
                          <w:t xml:space="preserve">Other health care establishment </w:t>
                        </w:r>
                      </w:p>
                    </w:tc>
                  </w:tr>
                  <w:tr>
                    <w:trPr/>
                    <w:tc>
                      <w:tcPr>
                        <w:tcW w:w="1000" w:type="pct"/>
                        <w:tcBorders>
                          <w:top w:val="none" w:color="000000" w:sz="0"/>
                          <w:left w:val="none" w:color="000000" w:sz="0"/>
                          <w:bottom w:val="none" w:color="000000" w:sz="0"/>
                          <w:right w:val="none" w:color="000000" w:sz="0"/>
                        </w:tcBorders>
                        <w:tcMar/>
                        <w:vAlign w:val="top"/>
                      </w:tcPr>
                      <w:p>
                        <w:r>
                          <w:t xml:space="preserve">PRV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PRVCONSULT </w:t>
                        </w:r>
                      </w:p>
                    </w:tc>
                    <w:tc>
                      <w:tcPr>
                        <w:tcBorders>
                          <w:top w:val="none" w:color="000000" w:sz="0"/>
                          <w:left w:val="none" w:color="000000" w:sz="0"/>
                          <w:bottom w:val="none" w:color="000000" w:sz="0"/>
                          <w:right w:val="none" w:color="000000" w:sz="0"/>
                        </w:tcBorders>
                        <w:tcMar/>
                        <w:vAlign w:val="top"/>
                      </w:tcPr>
                      <w:p>
                        <w:r>
                          <w:t xml:space="preserve">Private practice / consultant rooms</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 Transfer from other public psychiatric</w:t>
                        </w:r>
                      </w:p>
                    </w:tc>
                  </w:tr>
                  <w:tr>
                    <w:trPr/>
                    <w:tc>
                      <w:tcPr>
                        <w:tcW w:w="1000" w:type="pct"/>
                        <w:tcBorders>
                          <w:top w:val="none" w:color="000000" w:sz="0"/>
                          <w:left w:val="none" w:color="000000" w:sz="0"/>
                          <w:bottom w:val="none" w:color="000000" w:sz="0"/>
                          <w:right w:val="none" w:color="000000" w:sz="0"/>
                        </w:tcBorders>
                        <w:tcMar/>
                        <w:vAlign w:val="top"/>
                      </w:tcPr>
                      <w:p>
                        <w:r>
                          <w:t xml:space="preserve">REF </w:t>
                        </w:r>
                      </w:p>
                    </w:tc>
                    <w:tc>
                      <w:tcPr>
                        <w:tcBorders>
                          <w:top w:val="none" w:color="000000" w:sz="0"/>
                          <w:left w:val="none" w:color="000000" w:sz="0"/>
                          <w:bottom w:val="none" w:color="000000" w:sz="0"/>
                          <w:right w:val="none" w:color="000000" w:sz="0"/>
                        </w:tcBorders>
                        <w:tcMar/>
                        <w:vAlign w:val="top"/>
                      </w:tcPr>
                      <w:p>
                        <w:r>
                          <w:t xml:space="preserve">Referred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Transfer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TRB </w:t>
                        </w:r>
                      </w:p>
                    </w:tc>
                    <w:tc>
                      <w:tcPr>
                        <w:tcBorders>
                          <w:top w:val="none" w:color="000000" w:sz="0"/>
                          <w:left w:val="none" w:color="000000" w:sz="0"/>
                          <w:bottom w:val="none" w:color="000000" w:sz="0"/>
                          <w:right w:val="none" w:color="000000" w:sz="0"/>
                        </w:tcBorders>
                        <w:tcMar/>
                        <w:vAlign w:val="top"/>
                      </w:tcPr>
                      <w:p>
                        <w:r>
                          <w:t xml:space="preserve">Transfer from Transition Care Bed Based Program</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5</w:t>
                  </w:r>
                </w:p>
              </w:tc>
              <w:tc>
                <w:tcPr>
                  <w:tcMar/>
                  <w:vAlign w:val="top"/>
                </w:tcPr>
                <w:p>
                  <w:hyperlink w:history="true" r:id="Rba5338aa98ee4038">
                    <w:r>
                      <w:rPr>
                        <w:rStyle w:val="Hyperlink"/>
                      </w:rPr>
                      <w:t xml:space="preserve">Admission time</w:t>
                    </w:r>
                  </w:hyperlink>
                </w:p>
              </w:tc>
              <w:tc>
                <w:tcPr>
                  <w:vAlign w:val="top"/>
                </w:tcPr>
                <w:p>
                  <w:r>
                    <w:t xml:space="preserve">269972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6</w:t>
                  </w:r>
                </w:p>
              </w:tc>
              <w:tc>
                <w:tcPr>
                  <w:tcMar/>
                  <w:vAlign w:val="top"/>
                </w:tcPr>
                <w:p>
                  <w:hyperlink w:history="true" r:id="Ra24655fee82141fa">
                    <w:r>
                      <w:rPr>
                        <w:rStyle w:val="Hyperlink"/>
                      </w:rPr>
                      <w:t xml:space="preserve">Care type</w:t>
                    </w:r>
                  </w:hyperlink>
                </w:p>
              </w:tc>
              <w:tc>
                <w:tcPr>
                  <w:vAlign w:val="top"/>
                </w:tcPr>
                <w:p>
                  <w:r>
                    <w:t xml:space="preserve">714936</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incl qual newborn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BOR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NEO </w:t>
                        </w:r>
                      </w:p>
                    </w:tc>
                    <w:tc>
                      <w:tcPr>
                        <w:tcBorders>
                          <w:top w:val="none" w:color="000000" w:sz="0"/>
                          <w:left w:val="none" w:color="000000" w:sz="0"/>
                          <w:bottom w:val="none" w:color="000000" w:sz="0"/>
                          <w:right w:val="none" w:color="000000" w:sz="0"/>
                        </w:tcBorders>
                        <w:tcMar/>
                        <w:vAlign w:val="top"/>
                      </w:tcPr>
                      <w:p>
                        <w:r>
                          <w:t xml:space="preserve">Neonate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ORG </w:t>
                        </w:r>
                      </w:p>
                    </w:tc>
                    <w:tc>
                      <w:tcPr>
                        <w:tcBorders>
                          <w:top w:val="none" w:color="000000" w:sz="0"/>
                          <w:left w:val="none" w:color="000000" w:sz="0"/>
                          <w:bottom w:val="none" w:color="000000" w:sz="0"/>
                          <w:right w:val="none" w:color="000000" w:sz="0"/>
                        </w:tcBorders>
                        <w:tcMar/>
                        <w:vAlign w:val="top"/>
                      </w:tcPr>
                      <w:p>
                        <w:r>
                          <w:t xml:space="preserve">Organ procurement (posthumous)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Psychogeriatric</w:t>
                        </w:r>
                      </w:p>
                    </w:tc>
                  </w:tr>
                  <w:tr>
                    <w:trPr/>
                    <w:tc>
                      <w:tcPr>
                        <w:tcW w:w="1000" w:type="pct"/>
                        <w:tcBorders>
                          <w:top w:val="none" w:color="000000" w:sz="0"/>
                          <w:left w:val="none" w:color="000000" w:sz="0"/>
                          <w:bottom w:val="none" w:color="000000" w:sz="0"/>
                          <w:right w:val="none" w:color="000000" w:sz="0"/>
                        </w:tcBorders>
                        <w:tcMar/>
                        <w:vAlign w:val="top"/>
                      </w:tcPr>
                      <w:p>
                        <w:r>
                          <w:t xml:space="preserve">REHAB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Respite</w:t>
                        </w:r>
                      </w:p>
                    </w:tc>
                  </w:tr>
                  <w:tr>
                    <w:trPr/>
                    <w:tc>
                      <w:tcPr>
                        <w:tcW w:w="1000" w:type="pct"/>
                        <w:tcBorders>
                          <w:top w:val="none" w:color="000000" w:sz="0"/>
                          <w:left w:val="none" w:color="000000" w:sz="0"/>
                          <w:bottom w:val="none" w:color="000000" w:sz="0"/>
                          <w:right w:val="none" w:color="000000" w:sz="0"/>
                        </w:tcBorders>
                        <w:tcMar/>
                        <w:vAlign w:val="top"/>
                      </w:tcPr>
                      <w:p>
                        <w:r>
                          <w:t xml:space="preserve">SOC </w:t>
                        </w:r>
                      </w:p>
                    </w:tc>
                    <w:tc>
                      <w:tcPr>
                        <w:tcBorders>
                          <w:top w:val="none" w:color="000000" w:sz="0"/>
                          <w:left w:val="none" w:color="000000" w:sz="0"/>
                          <w:bottom w:val="none" w:color="000000" w:sz="0"/>
                          <w:right w:val="none" w:color="000000" w:sz="0"/>
                        </w:tcBorders>
                        <w:tcMar/>
                        <w:vAlign w:val="top"/>
                      </w:tcPr>
                      <w:p>
                        <w:r>
                          <w:t xml:space="preserve">Social</w:t>
                        </w:r>
                      </w:p>
                    </w:tc>
                  </w:tr>
                  <w:tr>
                    <w:trPr/>
                    <w:tc>
                      <w:tcPr>
                        <w:tcW w:w="1000" w:type="pct"/>
                        <w:tcBorders>
                          <w:top w:val="none" w:color="000000" w:sz="0"/>
                          <w:left w:val="none" w:color="000000" w:sz="0"/>
                          <w:bottom w:val="none" w:color="000000" w:sz="0"/>
                          <w:right w:val="none" w:color="000000" w:sz="0"/>
                        </w:tcBorders>
                        <w:tcMar/>
                        <w:vAlign w:val="top"/>
                      </w:tcPr>
                      <w:p>
                        <w:r>
                          <w:t xml:space="preserve">MHC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OM </w:t>
                        </w:r>
                      </w:p>
                    </w:tc>
                    <w:tc>
                      <w:tcPr>
                        <w:tcBorders>
                          <w:top w:val="none" w:color="000000" w:sz="0"/>
                          <w:left w:val="none" w:color="000000" w:sz="0"/>
                          <w:bottom w:val="none" w:color="000000" w:sz="0"/>
                          <w:right w:val="none" w:color="000000" w:sz="0"/>
                        </w:tcBorders>
                        <w:tcMar/>
                        <w:vAlign w:val="top"/>
                      </w:tcPr>
                      <w:p>
                        <w:r>
                          <w:t xml:space="preserve">Other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7</w:t>
                  </w:r>
                </w:p>
              </w:tc>
              <w:tc>
                <w:tcPr>
                  <w:tcMar/>
                  <w:vAlign w:val="top"/>
                </w:tcPr>
                <w:p>
                  <w:hyperlink w:history="true" r:id="R47211b1c84014cfa">
                    <w:r>
                      <w:rPr>
                        <w:rStyle w:val="Hyperlink"/>
                      </w:rPr>
                      <w:t xml:space="preserve">Diagnosis related group</w:t>
                    </w:r>
                  </w:hyperlink>
                </w:p>
              </w:tc>
              <w:tc>
                <w:tcPr>
                  <w:vAlign w:val="top"/>
                </w:tcPr>
                <w:p>
                  <w:r>
                    <w:t xml:space="preserve">689947</w:t>
                  </w:r>
                </w:p>
              </w:tc>
              <w:tc>
                <w:tcPr>
                  <w:vAlign w:val="top"/>
                </w:tcPr>
                <w:p>
                  <w:r>
                    <w:t xml:space="preserve">String
[4]</w:t>
                  </w:r>
                </w:p>
              </w:tc>
              <w:tc>
                <w:tcPr>
                  <w:vAlign w:val="top"/>
                </w:tcPr>
                <w:p>
                  <w:r>
                    <w:t xml:space="preserve">ANNA</w:t>
                  </w:r>
                  <w:r>
                    <w:br/>
                  </w:r>
                </w:p>
                <w:p>
                  <w:r>
                    <w:t xml:space="preserve">The AR-DRG (version 9.0) code set representing acute admitted patient episodes in public and private hospitals.</w:t>
                  </w:r>
                </w:p>
              </w:tc>
            </w:tr>
            <w:tr>
              <w:trPr/>
              <w:tc>
                <w:tcPr>
                  <w:tcMar>
                    <w:right w:w="29" w:type="dxa"/>
                  </w:tcMar>
                  <w:vAlign w:val="top"/>
                </w:tcPr>
                <w:p>
                  <w:pPr>
                    <w:keepNext/>
                    <w:jc w:val="center"/>
                  </w:pPr>
                  <w:r>
                    <w:t xml:space="preserve">8</w:t>
                  </w:r>
                </w:p>
              </w:tc>
              <w:tc>
                <w:tcPr>
                  <w:tcMar/>
                  <w:vAlign w:val="top"/>
                </w:tcPr>
                <w:p>
                  <w:hyperlink w:history="true" r:id="R485ca3b1b5ae4e20">
                    <w:r>
                      <w:rPr>
                        <w:rStyle w:val="Hyperlink"/>
                      </w:rPr>
                      <w:t xml:space="preserve">Duration of continuous ventilatory support</w:t>
                    </w:r>
                  </w:hyperlink>
                </w:p>
              </w:tc>
              <w:tc>
                <w:tcPr>
                  <w:vAlign w:val="top"/>
                </w:tcPr>
                <w:p>
                  <w:r>
                    <w:t xml:space="preserve">652006</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9</w:t>
                  </w:r>
                </w:p>
              </w:tc>
              <w:tc>
                <w:tcPr>
                  <w:tcMar/>
                  <w:vAlign w:val="top"/>
                </w:tcPr>
                <w:p>
                  <w:hyperlink w:history="true" r:id="R1f85037a4a0942b9">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10</w:t>
                  </w:r>
                </w:p>
              </w:tc>
              <w:tc>
                <w:tcPr>
                  <w:tcMar/>
                  <w:vAlign w:val="top"/>
                </w:tcPr>
                <w:p>
                  <w:hyperlink w:history="true" r:id="R57c766db2df64485">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11</w:t>
                  </w:r>
                </w:p>
              </w:tc>
              <w:tc>
                <w:tcPr>
                  <w:tcMar/>
                  <w:vAlign w:val="top"/>
                </w:tcPr>
                <w:p>
                  <w:hyperlink w:history="true" r:id="R760b02bfdf474def">
                    <w:r>
                      <w:rPr>
                        <w:rStyle w:val="Hyperlink"/>
                      </w:rPr>
                      <w:t xml:space="preserve">Intended length of hospital stay</w:t>
                    </w:r>
                  </w:hyperlink>
                </w:p>
              </w:tc>
              <w:tc>
                <w:tcPr>
                  <w:vAlign w:val="top"/>
                </w:tcPr>
                <w:p>
                  <w:r>
                    <w:t xml:space="preserve">442681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Sameday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Overnight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12</w:t>
                  </w:r>
                </w:p>
              </w:tc>
              <w:tc>
                <w:tcPr>
                  <w:tcMar/>
                  <w:vAlign w:val="top"/>
                </w:tcPr>
                <w:p>
                  <w:hyperlink w:history="true" r:id="R1552eb4fc5034d37">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13</w:t>
                  </w:r>
                </w:p>
              </w:tc>
              <w:tc>
                <w:tcPr>
                  <w:tcMar/>
                  <w:vAlign w:val="top"/>
                </w:tcPr>
                <w:p>
                  <w:hyperlink w:history="true" r:id="Rcc7993bf78bd4fae">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14</w:t>
                  </w:r>
                </w:p>
              </w:tc>
              <w:tc>
                <w:tcPr>
                  <w:tcMar/>
                  <w:vAlign w:val="top"/>
                </w:tcPr>
                <w:p>
                  <w:hyperlink w:history="true" r:id="R2f110bb2a66e4e31">
                    <w:r>
                      <w:rPr>
                        <w:rStyle w:val="Hyperlink"/>
                      </w:rPr>
                      <w:t xml:space="preserve">Length of stay</w:t>
                    </w:r>
                  </w:hyperlink>
                </w:p>
              </w:tc>
              <w:tc>
                <w:tcPr>
                  <w:vAlign w:val="top"/>
                </w:tcPr>
                <w:p>
                  <w:r>
                    <w:t xml:space="preserve">269982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15</w:t>
                  </w:r>
                </w:p>
              </w:tc>
              <w:tc>
                <w:tcPr>
                  <w:tcMar/>
                  <w:vAlign w:val="top"/>
                </w:tcPr>
                <w:p>
                  <w:hyperlink w:history="true" r:id="R47da728c4fea4325">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16</w:t>
                  </w:r>
                </w:p>
              </w:tc>
              <w:tc>
                <w:tcPr>
                  <w:tcMar/>
                  <w:vAlign w:val="top"/>
                </w:tcPr>
                <w:p>
                  <w:hyperlink w:history="true" r:id="Re82e3b68239e4b18">
                    <w:r>
                      <w:rPr>
                        <w:rStyle w:val="Hyperlink"/>
                      </w:rPr>
                      <w:t xml:space="preserve">Major diagnostic category</w:t>
                    </w:r>
                  </w:hyperlink>
                </w:p>
              </w:tc>
              <w:tc>
                <w:tcPr>
                  <w:vAlign w:val="top"/>
                </w:tcPr>
                <w:p>
                  <w:r>
                    <w:t xml:space="preserve">690019</w:t>
                  </w:r>
                </w:p>
              </w:tc>
              <w:tc>
                <w:tcPr>
                  <w:vAlign w:val="top"/>
                </w:tcPr>
                <w:p>
                  <w:r>
                    <w:t xml:space="preserve">String
[2]</w:t>
                  </w:r>
                </w:p>
              </w:tc>
              <w:tc>
                <w:tcPr>
                  <w:vAlign w:val="top"/>
                </w:tcPr>
                <w:p>
                  <w:r>
                    <w:t xml:space="preserve">NN</w:t>
                  </w:r>
                  <w:r>
                    <w:br/>
                  </w:r>
                </w:p>
                <w:p>
                  <w:r>
                    <w:t xml:space="preserve">The AR-DRG (version 9.0) code set representing acute admitted patient episodes in public and private hospitals.</w:t>
                  </w:r>
                </w:p>
              </w:tc>
            </w:tr>
            <w:tr>
              <w:trPr/>
              <w:tc>
                <w:tcPr>
                  <w:tcMar>
                    <w:right w:w="29" w:type="dxa"/>
                  </w:tcMar>
                  <w:vAlign w:val="top"/>
                </w:tcPr>
                <w:p>
                  <w:pPr>
                    <w:keepNext/>
                    <w:jc w:val="center"/>
                  </w:pPr>
                  <w:r>
                    <w:t xml:space="preserve">17</w:t>
                  </w:r>
                </w:p>
              </w:tc>
              <w:tc>
                <w:tcPr>
                  <w:tcMar/>
                  <w:vAlign w:val="top"/>
                </w:tcPr>
                <w:p>
                  <w:hyperlink w:history="true" r:id="R6b6121889bc34603">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18</w:t>
                  </w:r>
                </w:p>
              </w:tc>
              <w:tc>
                <w:tcPr>
                  <w:tcMar/>
                  <w:vAlign w:val="top"/>
                </w:tcPr>
                <w:p>
                  <w:hyperlink w:history="true" r:id="R296b40882d6641c2">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19</w:t>
                  </w:r>
                </w:p>
              </w:tc>
              <w:tc>
                <w:tcPr>
                  <w:tcMar/>
                  <w:vAlign w:val="top"/>
                </w:tcPr>
                <w:p>
                  <w:hyperlink w:history="true" r:id="Rc7c082881b604450">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20</w:t>
                  </w:r>
                </w:p>
              </w:tc>
              <w:tc>
                <w:tcPr>
                  <w:tcMar/>
                  <w:vAlign w:val="top"/>
                </w:tcPr>
                <w:p>
                  <w:hyperlink w:history="true" r:id="R686a9e9e2f944347">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21</w:t>
                  </w:r>
                </w:p>
              </w:tc>
              <w:tc>
                <w:tcPr>
                  <w:tcMar/>
                  <w:vAlign w:val="top"/>
                </w:tcPr>
                <w:p>
                  <w:hyperlink w:history="true" r:id="R8f0101649f5d4c80">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22</w:t>
                  </w:r>
                </w:p>
              </w:tc>
              <w:tc>
                <w:tcPr>
                  <w:tcMar/>
                  <w:vAlign w:val="top"/>
                </w:tcPr>
                <w:p>
                  <w:hyperlink w:history="true" r:id="Rcd4ff0e3bdde4c81">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23</w:t>
                  </w:r>
                </w:p>
              </w:tc>
              <w:tc>
                <w:tcPr>
                  <w:tcMar/>
                  <w:vAlign w:val="top"/>
                </w:tcPr>
                <w:p>
                  <w:hyperlink w:history="true" r:id="Rd9e868f70d444879">
                    <w:r>
                      <w:rPr>
                        <w:rStyle w:val="Hyperlink"/>
                      </w:rPr>
                      <w:t xml:space="preserve">Separation mode (Tasmanian)</w:t>
                    </w:r>
                  </w:hyperlink>
                </w:p>
              </w:tc>
              <w:tc>
                <w:tcPr>
                  <w:vAlign w:val="top"/>
                </w:tcPr>
                <w:p>
                  <w:r>
                    <w:t xml:space="preserve">441661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Died </w:t>
                        </w:r>
                      </w:p>
                    </w:tc>
                  </w:tr>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Drug and alcohol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Usual residence/accommodation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Aged care residential facility</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OH </w:t>
                        </w:r>
                      </w:p>
                    </w:tc>
                    <w:tc>
                      <w:tcPr>
                        <w:tcBorders>
                          <w:top w:val="none" w:color="000000" w:sz="0"/>
                          <w:left w:val="none" w:color="000000" w:sz="0"/>
                          <w:bottom w:val="none" w:color="000000" w:sz="0"/>
                          <w:right w:val="none" w:color="000000" w:sz="0"/>
                        </w:tcBorders>
                        <w:tcMar/>
                        <w:vAlign w:val="top"/>
                      </w:tcPr>
                      <w:p>
                        <w:r>
                          <w:t xml:space="preserve">Other health care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New episode for 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PH </w:t>
                        </w:r>
                      </w:p>
                    </w:tc>
                    <w:tc>
                      <w:tcPr>
                        <w:tcBorders>
                          <w:top w:val="none" w:color="000000" w:sz="0"/>
                          <w:left w:val="none" w:color="000000" w:sz="0"/>
                          <w:bottom w:val="none" w:color="000000" w:sz="0"/>
                          <w:right w:val="none" w:color="000000" w:sz="0"/>
                        </w:tcBorders>
                        <w:tcMar/>
                        <w:vAlign w:val="top"/>
                      </w:tcPr>
                      <w:p>
                        <w:r>
                          <w:t xml:space="preserve">Public hospital</w:t>
                        </w:r>
                      </w:p>
                    </w:tc>
                  </w:tr>
                  <w:tr>
                    <w:trPr/>
                    <w:tc>
                      <w:tcPr>
                        <w:tcW w:w="1000" w:type="pct"/>
                        <w:tcBorders>
                          <w:top w:val="none" w:color="000000" w:sz="0"/>
                          <w:left w:val="none" w:color="000000" w:sz="0"/>
                          <w:bottom w:val="none" w:color="000000" w:sz="0"/>
                          <w:right w:val="none" w:color="000000" w:sz="0"/>
                        </w:tcBorders>
                        <w:tcMar/>
                        <w:vAlign w:val="top"/>
                      </w:tcPr>
                      <w:p>
                        <w:r>
                          <w:t xml:space="preserve">PRH </w:t>
                        </w:r>
                      </w:p>
                    </w:tc>
                    <w:tc>
                      <w:tcPr>
                        <w:tcBorders>
                          <w:top w:val="none" w:color="000000" w:sz="0"/>
                          <w:left w:val="none" w:color="000000" w:sz="0"/>
                          <w:bottom w:val="none" w:color="000000" w:sz="0"/>
                          <w:right w:val="none" w:color="000000" w:sz="0"/>
                        </w:tcBorders>
                        <w:tcMar/>
                        <w:vAlign w:val="top"/>
                      </w:tcPr>
                      <w:p>
                        <w:r>
                          <w:t xml:space="preserve">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RH </w:t>
                        </w:r>
                      </w:p>
                    </w:tc>
                    <w:tc>
                      <w:tcPr>
                        <w:tcBorders>
                          <w:top w:val="none" w:color="000000" w:sz="0"/>
                          <w:left w:val="none" w:color="000000" w:sz="0"/>
                          <w:bottom w:val="none" w:color="000000" w:sz="0"/>
                          <w:right w:val="none" w:color="000000" w:sz="0"/>
                        </w:tcBorders>
                        <w:tcMar/>
                        <w:vAlign w:val="top"/>
                      </w:tcPr>
                      <w:p>
                        <w:r>
                          <w:t xml:space="preserve">Rural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separation</w:t>
                        </w:r>
                      </w:p>
                    </w:tc>
                  </w:tr>
                  <w:tr>
                    <w:trPr/>
                    <w:tc>
                      <w:tcPr>
                        <w:tcW w:w="1000" w:type="pct"/>
                        <w:tcBorders>
                          <w:top w:val="none" w:color="000000" w:sz="0"/>
                          <w:left w:val="none" w:color="000000" w:sz="0"/>
                          <w:bottom w:val="none" w:color="000000" w:sz="0"/>
                          <w:right w:val="none" w:color="000000" w:sz="0"/>
                        </w:tcBorders>
                        <w:tcMar/>
                        <w:vAlign w:val="top"/>
                      </w:tcPr>
                      <w:p>
                        <w:r>
                          <w:t xml:space="preserve">SD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V </w:t>
                        </w:r>
                      </w:p>
                    </w:tc>
                    <w:tc>
                      <w:tcPr>
                        <w:tcBorders>
                          <w:top w:val="none" w:color="000000" w:sz="0"/>
                          <w:left w:val="none" w:color="000000" w:sz="0"/>
                          <w:bottom w:val="none" w:color="000000" w:sz="0"/>
                          <w:right w:val="none" w:color="000000" w:sz="0"/>
                        </w:tcBorders>
                        <w:tcMar/>
                        <w:vAlign w:val="top"/>
                      </w:tcPr>
                      <w:p>
                        <w:r>
                          <w:t xml:space="preserve">Via discharge lounge - usual residence/accommodation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Z </w:t>
                        </w:r>
                      </w:p>
                    </w:tc>
                    <w:tc>
                      <w:tcPr>
                        <w:tcBorders>
                          <w:top w:val="none" w:color="000000" w:sz="0"/>
                          <w:left w:val="none" w:color="000000" w:sz="0"/>
                          <w:bottom w:val="none" w:color="000000" w:sz="0"/>
                          <w:right w:val="none" w:color="000000" w:sz="0"/>
                        </w:tcBorders>
                        <w:tcMar/>
                        <w:vAlign w:val="top"/>
                      </w:tcPr>
                      <w:p>
                        <w:r>
                          <w:t xml:space="preserve">Left against medical advice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24</w:t>
                  </w:r>
                </w:p>
              </w:tc>
              <w:tc>
                <w:tcPr>
                  <w:tcMar/>
                  <w:vAlign w:val="top"/>
                </w:tcPr>
                <w:p>
                  <w:hyperlink w:history="true" r:id="Re56dfd435ad94499">
                    <w:r>
                      <w:rPr>
                        <w:rStyle w:val="Hyperlink"/>
                      </w:rPr>
                      <w:t xml:space="preserve">Separation time</w:t>
                    </w:r>
                  </w:hyperlink>
                </w:p>
              </w:tc>
              <w:tc>
                <w:tcPr>
                  <w:vAlign w:val="top"/>
                </w:tcPr>
                <w:p>
                  <w:r>
                    <w:t xml:space="preserve">270026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25</w:t>
                  </w:r>
                </w:p>
              </w:tc>
              <w:tc>
                <w:tcPr>
                  <w:tcMar/>
                  <w:vAlign w:val="top"/>
                </w:tcPr>
                <w:p>
                  <w:hyperlink w:history="true" r:id="Rd52793587cf54d8f">
                    <w:r>
                      <w:rPr>
                        <w:rStyle w:val="Hyperlink"/>
                      </w:rPr>
                      <w:t xml:space="preserve">Funding source for Tasmanian hospital patient, Administrative category (ADCAT)</w:t>
                    </w:r>
                  </w:hyperlink>
                </w:p>
              </w:tc>
              <w:tc>
                <w:tcPr>
                  <w:vAlign w:val="top"/>
                </w:tcPr>
                <w:p>
                  <w:r>
                    <w:t xml:space="preserve">417677</w:t>
                  </w:r>
                </w:p>
              </w:tc>
              <w:tc>
                <w:tcPr>
                  <w:vAlign w:val="top"/>
                </w:tcPr>
                <w:p>
                  <w:r>
                    <w:t xml:space="preserve">String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AS </w:t>
                        </w:r>
                      </w:p>
                    </w:tc>
                    <w:tc>
                      <w:tcPr>
                        <w:tcBorders>
                          <w:top w:val="none" w:color="000000" w:sz="0"/>
                          <w:left w:val="none" w:color="000000" w:sz="0"/>
                          <w:bottom w:val="none" w:color="000000" w:sz="0"/>
                          <w:right w:val="none" w:color="000000" w:sz="0"/>
                        </w:tcBorders>
                        <w:tcMar/>
                        <w:vAlign w:val="top"/>
                      </w:tcPr>
                      <w:p>
                        <w:r>
                          <w:t xml:space="preserve">Armed services</w:t>
                        </w:r>
                      </w:p>
                    </w:tc>
                  </w:tr>
                  <w:tr>
                    <w:trPr/>
                    <w:tc>
                      <w:tcPr>
                        <w:tcW w:w="1000" w:type="pct"/>
                        <w:tcBorders>
                          <w:top w:val="none" w:color="000000" w:sz="0"/>
                          <w:left w:val="none" w:color="000000" w:sz="0"/>
                          <w:bottom w:val="none" w:color="000000" w:sz="0"/>
                          <w:right w:val="none" w:color="000000" w:sz="0"/>
                        </w:tcBorders>
                        <w:tcMar/>
                        <w:vAlign w:val="top"/>
                      </w:tcPr>
                      <w:p>
                        <w:r>
                          <w:t xml:space="preserve">ASX </w:t>
                        </w:r>
                      </w:p>
                    </w:tc>
                    <w:tc>
                      <w:tcPr>
                        <w:tcBorders>
                          <w:top w:val="none" w:color="000000" w:sz="0"/>
                          <w:left w:val="none" w:color="000000" w:sz="0"/>
                          <w:bottom w:val="none" w:color="000000" w:sz="0"/>
                          <w:right w:val="none" w:color="000000" w:sz="0"/>
                        </w:tcBorders>
                        <w:tcMar/>
                        <w:vAlign w:val="top"/>
                      </w:tcPr>
                      <w:p>
                        <w:r>
                          <w:t xml:space="preserve">Asylum seeker</w:t>
                        </w:r>
                      </w:p>
                    </w:tc>
                  </w:tr>
                  <w:tr>
                    <w:trPr/>
                    <w:tc>
                      <w:tcPr>
                        <w:tcW w:w="1000" w:type="pct"/>
                        <w:tcBorders>
                          <w:top w:val="none" w:color="000000" w:sz="0"/>
                          <w:left w:val="none" w:color="000000" w:sz="0"/>
                          <w:bottom w:val="none" w:color="000000" w:sz="0"/>
                          <w:right w:val="none" w:color="000000" w:sz="0"/>
                        </w:tcBorders>
                        <w:tcMar/>
                        <w:vAlign w:val="top"/>
                      </w:tcPr>
                      <w:p>
                        <w:r>
                          <w:t xml:space="preserve">BOARD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CLW </w:t>
                        </w:r>
                      </w:p>
                    </w:tc>
                    <w:tc>
                      <w:tcPr>
                        <w:tcBorders>
                          <w:top w:val="none" w:color="000000" w:sz="0"/>
                          <w:left w:val="none" w:color="000000" w:sz="0"/>
                          <w:bottom w:val="none" w:color="000000" w:sz="0"/>
                          <w:right w:val="none" w:color="000000" w:sz="0"/>
                        </w:tcBorders>
                        <w:tcMar/>
                        <w:vAlign w:val="top"/>
                      </w:tcPr>
                      <w:p>
                        <w:r>
                          <w:t xml:space="preserve">Common law</w:t>
                        </w:r>
                      </w:p>
                    </w:tc>
                  </w:tr>
                  <w:tr>
                    <w:trPr/>
                    <w:tc>
                      <w:tcPr>
                        <w:tcW w:w="1000" w:type="pct"/>
                        <w:tcBorders>
                          <w:top w:val="none" w:color="000000" w:sz="0"/>
                          <w:left w:val="none" w:color="000000" w:sz="0"/>
                          <w:bottom w:val="none" w:color="000000" w:sz="0"/>
                          <w:right w:val="none" w:color="000000" w:sz="0"/>
                        </w:tcBorders>
                        <w:tcMar/>
                        <w:vAlign w:val="top"/>
                      </w:tcPr>
                      <w:p>
                        <w:r>
                          <w:t xml:space="preserve">CSAI </w:t>
                        </w:r>
                      </w:p>
                    </w:tc>
                    <w:tc>
                      <w:tcPr>
                        <w:tcBorders>
                          <w:top w:val="none" w:color="000000" w:sz="0"/>
                          <w:left w:val="none" w:color="000000" w:sz="0"/>
                          <w:bottom w:val="none" w:color="000000" w:sz="0"/>
                          <w:right w:val="none" w:color="000000" w:sz="0"/>
                        </w:tcBorders>
                        <w:tcMar/>
                        <w:vAlign w:val="top"/>
                      </w:tcPr>
                      <w:p>
                        <w:r>
                          <w:t xml:space="preserve">Contracted services in</w:t>
                        </w:r>
                      </w:p>
                    </w:tc>
                  </w:tr>
                  <w:tr>
                    <w:trPr/>
                    <w:tc>
                      <w:tcPr>
                        <w:tcW w:w="1000" w:type="pct"/>
                        <w:tcBorders>
                          <w:top w:val="none" w:color="000000" w:sz="0"/>
                          <w:left w:val="none" w:color="000000" w:sz="0"/>
                          <w:bottom w:val="none" w:color="000000" w:sz="0"/>
                          <w:right w:val="none" w:color="000000" w:sz="0"/>
                        </w:tcBorders>
                        <w:tcMar/>
                        <w:vAlign w:val="top"/>
                      </w:tcPr>
                      <w:p>
                        <w:r>
                          <w:t xml:space="preserve">CSAO </w:t>
                        </w:r>
                      </w:p>
                    </w:tc>
                    <w:tc>
                      <w:tcPr>
                        <w:tcBorders>
                          <w:top w:val="none" w:color="000000" w:sz="0"/>
                          <w:left w:val="none" w:color="000000" w:sz="0"/>
                          <w:bottom w:val="none" w:color="000000" w:sz="0"/>
                          <w:right w:val="none" w:color="000000" w:sz="0"/>
                        </w:tcBorders>
                        <w:tcMar/>
                        <w:vAlign w:val="top"/>
                      </w:tcPr>
                      <w:p>
                        <w:r>
                          <w:t xml:space="preserve">Outsourced contract services</w:t>
                        </w:r>
                      </w:p>
                    </w:tc>
                  </w:tr>
                  <w:tr>
                    <w:trPr/>
                    <w:tc>
                      <w:tcPr>
                        <w:tcW w:w="1000" w:type="pct"/>
                        <w:tcBorders>
                          <w:top w:val="none" w:color="000000" w:sz="0"/>
                          <w:left w:val="none" w:color="000000" w:sz="0"/>
                          <w:bottom w:val="none" w:color="000000" w:sz="0"/>
                          <w:right w:val="none" w:color="000000" w:sz="0"/>
                        </w:tcBorders>
                        <w:tcMar/>
                        <w:vAlign w:val="top"/>
                      </w:tcPr>
                      <w:p>
                        <w:r>
                          <w:t xml:space="preserve">DVA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DVANHT </w:t>
                        </w:r>
                      </w:p>
                    </w:tc>
                    <w:tc>
                      <w:tcPr>
                        <w:tcBorders>
                          <w:top w:val="none" w:color="000000" w:sz="0"/>
                          <w:left w:val="none" w:color="000000" w:sz="0"/>
                          <w:bottom w:val="none" w:color="000000" w:sz="0"/>
                          <w:right w:val="none" w:color="000000" w:sz="0"/>
                        </w:tcBorders>
                        <w:tcMar/>
                        <w:vAlign w:val="top"/>
                      </w:tcPr>
                      <w:p>
                        <w:r>
                          <w:t xml:space="preserve">Department of Veterans’ Affairs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HPH </w:t>
                        </w:r>
                      </w:p>
                    </w:tc>
                    <w:tc>
                      <w:tcPr>
                        <w:tcBorders>
                          <w:top w:val="none" w:color="000000" w:sz="0"/>
                          <w:left w:val="none" w:color="000000" w:sz="0"/>
                          <w:bottom w:val="none" w:color="000000" w:sz="0"/>
                          <w:right w:val="none" w:color="000000" w:sz="0"/>
                        </w:tcBorders>
                        <w:tcMar/>
                        <w:vAlign w:val="top"/>
                      </w:tcPr>
                      <w:p>
                        <w:r>
                          <w:t xml:space="preserve">Hobart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MBB </w:t>
                        </w:r>
                      </w:p>
                    </w:tc>
                    <w:tc>
                      <w:tcPr>
                        <w:tcBorders>
                          <w:top w:val="none" w:color="000000" w:sz="0"/>
                          <w:left w:val="none" w:color="000000" w:sz="0"/>
                          <w:bottom w:val="none" w:color="000000" w:sz="0"/>
                          <w:right w:val="none" w:color="000000" w:sz="0"/>
                        </w:tcBorders>
                        <w:tcMar/>
                        <w:vAlign w:val="top"/>
                      </w:tcPr>
                      <w:p>
                        <w:r>
                          <w:t xml:space="preserve">NO LONGER USED - Bulk billed (ORP patient)</w:t>
                        </w:r>
                      </w:p>
                    </w:tc>
                  </w:tr>
                  <w:tr>
                    <w:trPr/>
                    <w:tc>
                      <w:tcPr>
                        <w:tcW w:w="1000" w:type="pct"/>
                        <w:tcBorders>
                          <w:top w:val="none" w:color="000000" w:sz="0"/>
                          <w:left w:val="none" w:color="000000" w:sz="0"/>
                          <w:bottom w:val="none" w:color="000000" w:sz="0"/>
                          <w:right w:val="none" w:color="000000" w:sz="0"/>
                        </w:tcBorders>
                        <w:tcMar/>
                        <w:vAlign w:val="top"/>
                      </w:tcPr>
                      <w:p>
                        <w:r>
                          <w:t xml:space="preserve">MVA </w:t>
                        </w:r>
                      </w:p>
                    </w:tc>
                    <w:tc>
                      <w:tcPr>
                        <w:tcBorders>
                          <w:top w:val="none" w:color="000000" w:sz="0"/>
                          <w:left w:val="none" w:color="000000" w:sz="0"/>
                          <w:bottom w:val="none" w:color="000000" w:sz="0"/>
                          <w:right w:val="none" w:color="000000" w:sz="0"/>
                        </w:tcBorders>
                        <w:tcMar/>
                        <w:vAlign w:val="top"/>
                      </w:tcPr>
                      <w:p>
                        <w:r>
                          <w:t xml:space="preserve">Motor vehicle accident</w:t>
                        </w:r>
                      </w:p>
                    </w:tc>
                  </w:tr>
                  <w:tr>
                    <w:trPr/>
                    <w:tc>
                      <w:tcPr>
                        <w:tcW w:w="1000" w:type="pct"/>
                        <w:tcBorders>
                          <w:top w:val="none" w:color="000000" w:sz="0"/>
                          <w:left w:val="none" w:color="000000" w:sz="0"/>
                          <w:bottom w:val="none" w:color="000000" w:sz="0"/>
                          <w:right w:val="none" w:color="000000" w:sz="0"/>
                        </w:tcBorders>
                        <w:tcMar/>
                        <w:vAlign w:val="top"/>
                      </w:tcPr>
                      <w:p>
                        <w:r>
                          <w:t xml:space="preserve">NB </w:t>
                        </w:r>
                      </w:p>
                    </w:tc>
                    <w:tc>
                      <w:tcPr>
                        <w:tcBorders>
                          <w:top w:val="none" w:color="000000" w:sz="0"/>
                          <w:left w:val="none" w:color="000000" w:sz="0"/>
                          <w:bottom w:val="none" w:color="000000" w:sz="0"/>
                          <w:right w:val="none" w:color="000000" w:sz="0"/>
                        </w:tcBorders>
                        <w:tcMar/>
                        <w:vAlign w:val="top"/>
                      </w:tcPr>
                      <w:p>
                        <w:r>
                          <w:t xml:space="preserve">Newborn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ORP </w:t>
                        </w:r>
                      </w:p>
                    </w:tc>
                    <w:tc>
                      <w:tcPr>
                        <w:tcBorders>
                          <w:top w:val="none" w:color="000000" w:sz="0"/>
                          <w:left w:val="none" w:color="000000" w:sz="0"/>
                          <w:bottom w:val="none" w:color="000000" w:sz="0"/>
                          <w:right w:val="none" w:color="000000" w:sz="0"/>
                        </w:tcBorders>
                        <w:tcMar/>
                        <w:vAlign w:val="top"/>
                      </w:tcPr>
                      <w:p>
                        <w:r>
                          <w:t xml:space="preserve">ORP (inpatient)</w:t>
                        </w:r>
                      </w:p>
                    </w:tc>
                  </w:tr>
                  <w:tr>
                    <w:trPr/>
                    <w:tc>
                      <w:tcPr>
                        <w:tcW w:w="1000" w:type="pct"/>
                        <w:tcBorders>
                          <w:top w:val="none" w:color="000000" w:sz="0"/>
                          <w:left w:val="none" w:color="000000" w:sz="0"/>
                          <w:bottom w:val="none" w:color="000000" w:sz="0"/>
                          <w:right w:val="none" w:color="000000" w:sz="0"/>
                        </w:tcBorders>
                        <w:tcMar/>
                        <w:vAlign w:val="top"/>
                      </w:tcPr>
                      <w:p>
                        <w:r>
                          <w:t xml:space="preserve">OSS </w:t>
                        </w:r>
                      </w:p>
                    </w:tc>
                    <w:tc>
                      <w:tcPr>
                        <w:tcBorders>
                          <w:top w:val="none" w:color="000000" w:sz="0"/>
                          <w:left w:val="none" w:color="000000" w:sz="0"/>
                          <w:bottom w:val="none" w:color="000000" w:sz="0"/>
                          <w:right w:val="none" w:color="000000" w:sz="0"/>
                        </w:tcBorders>
                        <w:tcMar/>
                        <w:vAlign w:val="top"/>
                      </w:tcPr>
                      <w:p>
                        <w:r>
                          <w:t xml:space="preserve">Overseas - student</w:t>
                        </w:r>
                      </w:p>
                    </w:tc>
                  </w:tr>
                  <w:tr>
                    <w:trPr/>
                    <w:tc>
                      <w:tcPr>
                        <w:tcW w:w="1000" w:type="pct"/>
                        <w:tcBorders>
                          <w:top w:val="none" w:color="000000" w:sz="0"/>
                          <w:left w:val="none" w:color="000000" w:sz="0"/>
                          <w:bottom w:val="none" w:color="000000" w:sz="0"/>
                          <w:right w:val="none" w:color="000000" w:sz="0"/>
                        </w:tcBorders>
                        <w:tcMar/>
                        <w:vAlign w:val="top"/>
                      </w:tcPr>
                      <w:p>
                        <w:r>
                          <w:t xml:space="preserve">OSV </w:t>
                        </w:r>
                      </w:p>
                    </w:tc>
                    <w:tc>
                      <w:tcPr>
                        <w:tcBorders>
                          <w:top w:val="none" w:color="000000" w:sz="0"/>
                          <w:left w:val="none" w:color="000000" w:sz="0"/>
                          <w:bottom w:val="none" w:color="000000" w:sz="0"/>
                          <w:right w:val="none" w:color="000000" w:sz="0"/>
                        </w:tcBorders>
                        <w:tcMar/>
                        <w:vAlign w:val="top"/>
                      </w:tcPr>
                      <w:p>
                        <w:r>
                          <w:t xml:space="preserve">Overseas -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OSVNO </w:t>
                        </w:r>
                      </w:p>
                    </w:tc>
                    <w:tc>
                      <w:tcPr>
                        <w:tcBorders>
                          <w:top w:val="none" w:color="000000" w:sz="0"/>
                          <w:left w:val="none" w:color="000000" w:sz="0"/>
                          <w:bottom w:val="none" w:color="000000" w:sz="0"/>
                          <w:right w:val="none" w:color="000000" w:sz="0"/>
                        </w:tcBorders>
                        <w:tcMar/>
                        <w:vAlign w:val="top"/>
                      </w:tcPr>
                      <w:p>
                        <w:r>
                          <w:t xml:space="preserve">Overseas - without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PNH </w:t>
                        </w:r>
                      </w:p>
                    </w:tc>
                    <w:tc>
                      <w:tcPr>
                        <w:tcBorders>
                          <w:top w:val="none" w:color="000000" w:sz="0"/>
                          <w:left w:val="none" w:color="000000" w:sz="0"/>
                          <w:bottom w:val="none" w:color="000000" w:sz="0"/>
                          <w:right w:val="none" w:color="000000" w:sz="0"/>
                        </w:tcBorders>
                        <w:tcMar/>
                        <w:vAlign w:val="top"/>
                      </w:tcPr>
                      <w:p>
                        <w:r>
                          <w:t xml:space="preserve">Public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PRIS </w:t>
                        </w:r>
                      </w:p>
                    </w:tc>
                    <w:tc>
                      <w:tcPr>
                        <w:tcBorders>
                          <w:top w:val="none" w:color="000000" w:sz="0"/>
                          <w:left w:val="none" w:color="000000" w:sz="0"/>
                          <w:bottom w:val="none" w:color="000000" w:sz="0"/>
                          <w:right w:val="none" w:color="000000" w:sz="0"/>
                        </w:tcBorders>
                        <w:tcMar/>
                        <w:vAlign w:val="top"/>
                      </w:tcPr>
                      <w:p>
                        <w:r>
                          <w:t xml:space="preserve">Prisoner</w:t>
                        </w:r>
                      </w:p>
                    </w:tc>
                  </w:tr>
                  <w:tr>
                    <w:trPr/>
                    <w:tc>
                      <w:tcPr>
                        <w:tcW w:w="1000" w:type="pct"/>
                        <w:tcBorders>
                          <w:top w:val="none" w:color="000000" w:sz="0"/>
                          <w:left w:val="none" w:color="000000" w:sz="0"/>
                          <w:bottom w:val="none" w:color="000000" w:sz="0"/>
                          <w:right w:val="none" w:color="000000" w:sz="0"/>
                        </w:tcBorders>
                        <w:tcMar/>
                        <w:vAlign w:val="top"/>
                      </w:tcPr>
                      <w:p>
                        <w:r>
                          <w:t xml:space="preserve">PRIV </w:t>
                        </w:r>
                      </w:p>
                    </w:tc>
                    <w:tc>
                      <w:tcPr>
                        <w:tcBorders>
                          <w:top w:val="none" w:color="000000" w:sz="0"/>
                          <w:left w:val="none" w:color="000000" w:sz="0"/>
                          <w:bottom w:val="none" w:color="000000" w:sz="0"/>
                          <w:right w:val="none" w:color="000000" w:sz="0"/>
                        </w:tcBorders>
                        <w:tcMar/>
                        <w:vAlign w:val="top"/>
                      </w:tcPr>
                      <w:p>
                        <w:r>
                          <w:t xml:space="preserve">NO LONGER USED -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PRIVHO </w:t>
                        </w:r>
                      </w:p>
                    </w:tc>
                    <w:tc>
                      <w:tcPr>
                        <w:tcBorders>
                          <w:top w:val="none" w:color="000000" w:sz="0"/>
                          <w:left w:val="none" w:color="000000" w:sz="0"/>
                          <w:bottom w:val="none" w:color="000000" w:sz="0"/>
                          <w:right w:val="none" w:color="000000" w:sz="0"/>
                        </w:tcBorders>
                        <w:tcMar/>
                        <w:vAlign w:val="top"/>
                      </w:tcPr>
                      <w:p>
                        <w:r>
                          <w:t xml:space="preserve">NO LONGER USED - Private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PRIVNH </w:t>
                        </w:r>
                      </w:p>
                    </w:tc>
                    <w:tc>
                      <w:tcPr>
                        <w:tcBorders>
                          <w:top w:val="none" w:color="000000" w:sz="0"/>
                          <w:left w:val="none" w:color="000000" w:sz="0"/>
                          <w:bottom w:val="none" w:color="000000" w:sz="0"/>
                          <w:right w:val="none" w:color="000000" w:sz="0"/>
                        </w:tcBorders>
                        <w:tcMar/>
                        <w:vAlign w:val="top"/>
                      </w:tcPr>
                      <w:p>
                        <w:r>
                          <w:t xml:space="preserve">Private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PRIVO </w:t>
                        </w:r>
                      </w:p>
                    </w:tc>
                    <w:tc>
                      <w:tcPr>
                        <w:tcBorders>
                          <w:top w:val="none" w:color="000000" w:sz="0"/>
                          <w:left w:val="none" w:color="000000" w:sz="0"/>
                          <w:bottom w:val="none" w:color="000000" w:sz="0"/>
                          <w:right w:val="none" w:color="000000" w:sz="0"/>
                        </w:tcBorders>
                        <w:tcMar/>
                        <w:vAlign w:val="top"/>
                      </w:tcPr>
                      <w:p>
                        <w:r>
                          <w:t xml:space="preserve">Private - overnight</w:t>
                        </w:r>
                      </w:p>
                    </w:tc>
                  </w:tr>
                  <w:tr>
                    <w:trPr/>
                    <w:tc>
                      <w:tcPr>
                        <w:tcW w:w="1000" w:type="pct"/>
                        <w:tcBorders>
                          <w:top w:val="none" w:color="000000" w:sz="0"/>
                          <w:left w:val="none" w:color="000000" w:sz="0"/>
                          <w:bottom w:val="none" w:color="000000" w:sz="0"/>
                          <w:right w:val="none" w:color="000000" w:sz="0"/>
                        </w:tcBorders>
                        <w:tcMar/>
                        <w:vAlign w:val="top"/>
                      </w:tcPr>
                      <w:p>
                        <w:r>
                          <w:t xml:space="preserve">PRIVSD </w:t>
                        </w:r>
                      </w:p>
                    </w:tc>
                    <w:tc>
                      <w:tcPr>
                        <w:tcBorders>
                          <w:top w:val="none" w:color="000000" w:sz="0"/>
                          <w:left w:val="none" w:color="000000" w:sz="0"/>
                          <w:bottom w:val="none" w:color="000000" w:sz="0"/>
                          <w:right w:val="none" w:color="000000" w:sz="0"/>
                        </w:tcBorders>
                        <w:tcMar/>
                        <w:vAlign w:val="top"/>
                      </w:tcPr>
                      <w:p>
                        <w:r>
                          <w:t xml:space="preserve">Private - same day</w:t>
                        </w:r>
                      </w:p>
                    </w:tc>
                  </w:tr>
                  <w:tr>
                    <w:trPr/>
                    <w:tc>
                      <w:tcPr>
                        <w:tcW w:w="1000" w:type="pct"/>
                        <w:tcBorders>
                          <w:top w:val="none" w:color="000000" w:sz="0"/>
                          <w:left w:val="none" w:color="000000" w:sz="0"/>
                          <w:bottom w:val="none" w:color="000000" w:sz="0"/>
                          <w:right w:val="none" w:color="000000" w:sz="0"/>
                        </w:tcBorders>
                        <w:tcMar/>
                        <w:vAlign w:val="top"/>
                      </w:tcPr>
                      <w:p>
                        <w:r>
                          <w:t xml:space="preserve">PUB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PUBHOME </w:t>
                        </w:r>
                      </w:p>
                    </w:tc>
                    <w:tc>
                      <w:tcPr>
                        <w:tcBorders>
                          <w:top w:val="none" w:color="000000" w:sz="0"/>
                          <w:left w:val="none" w:color="000000" w:sz="0"/>
                          <w:bottom w:val="none" w:color="000000" w:sz="0"/>
                          <w:right w:val="none" w:color="000000" w:sz="0"/>
                        </w:tcBorders>
                        <w:tcMar/>
                        <w:vAlign w:val="top"/>
                      </w:tcPr>
                      <w:p>
                        <w:r>
                          <w:t xml:space="preserve">Public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RESI </w:t>
                        </w:r>
                      </w:p>
                    </w:tc>
                    <w:tc>
                      <w:tcPr>
                        <w:tcBorders>
                          <w:top w:val="none" w:color="000000" w:sz="0"/>
                          <w:left w:val="none" w:color="000000" w:sz="0"/>
                          <w:bottom w:val="none" w:color="000000" w:sz="0"/>
                          <w:right w:val="none" w:color="000000" w:sz="0"/>
                        </w:tcBorders>
                        <w:tcMar/>
                        <w:vAlign w:val="top"/>
                      </w:tcPr>
                      <w:p>
                        <w:r>
                          <w:t xml:space="preserve">Residential - aged care</w:t>
                        </w:r>
                      </w:p>
                    </w:tc>
                  </w:tr>
                  <w:tr>
                    <w:trPr/>
                    <w:tc>
                      <w:tcPr>
                        <w:tcW w:w="1000" w:type="pct"/>
                        <w:tcBorders>
                          <w:top w:val="none" w:color="000000" w:sz="0"/>
                          <w:left w:val="none" w:color="000000" w:sz="0"/>
                          <w:bottom w:val="none" w:color="000000" w:sz="0"/>
                          <w:right w:val="none" w:color="000000" w:sz="0"/>
                        </w:tcBorders>
                        <w:tcMar/>
                        <w:vAlign w:val="top"/>
                      </w:tcPr>
                      <w:p>
                        <w:r>
                          <w:t xml:space="preserve">RESP </w:t>
                        </w:r>
                      </w:p>
                    </w:tc>
                    <w:tc>
                      <w:tcPr>
                        <w:tcBorders>
                          <w:top w:val="none" w:color="000000" w:sz="0"/>
                          <w:left w:val="none" w:color="000000" w:sz="0"/>
                          <w:bottom w:val="none" w:color="000000" w:sz="0"/>
                          <w:right w:val="none" w:color="000000" w:sz="0"/>
                        </w:tcBorders>
                        <w:tcMar/>
                        <w:vAlign w:val="top"/>
                      </w:tcPr>
                      <w:p>
                        <w:r>
                          <w:t xml:space="preserve">Residential - 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SEA </w:t>
                        </w:r>
                      </w:p>
                    </w:tc>
                    <w:tc>
                      <w:tcPr>
                        <w:tcBorders>
                          <w:top w:val="none" w:color="000000" w:sz="0"/>
                          <w:left w:val="none" w:color="000000" w:sz="0"/>
                          <w:bottom w:val="none" w:color="000000" w:sz="0"/>
                          <w:right w:val="none" w:color="000000" w:sz="0"/>
                        </w:tcBorders>
                        <w:tcMar/>
                        <w:vAlign w:val="top"/>
                      </w:tcPr>
                      <w:p>
                        <w:r>
                          <w:t xml:space="preserve">Seamen</w:t>
                        </w:r>
                      </w:p>
                    </w:tc>
                  </w:tr>
                  <w:tr>
                    <w:trPr/>
                    <w:tc>
                      <w:tcPr>
                        <w:tcW w:w="1000" w:type="pct"/>
                        <w:tcBorders>
                          <w:top w:val="none" w:color="000000" w:sz="0"/>
                          <w:left w:val="none" w:color="000000" w:sz="0"/>
                          <w:bottom w:val="none" w:color="000000" w:sz="0"/>
                          <w:right w:val="none" w:color="000000" w:sz="0"/>
                        </w:tcBorders>
                        <w:tcMar/>
                        <w:vAlign w:val="top"/>
                      </w:tcPr>
                      <w:p>
                        <w:r>
                          <w:t xml:space="preserve">SFO </w:t>
                        </w:r>
                      </w:p>
                    </w:tc>
                    <w:tc>
                      <w:tcPr>
                        <w:tcBorders>
                          <w:top w:val="none" w:color="000000" w:sz="0"/>
                          <w:left w:val="none" w:color="000000" w:sz="0"/>
                          <w:bottom w:val="none" w:color="000000" w:sz="0"/>
                          <w:right w:val="none" w:color="000000" w:sz="0"/>
                        </w:tcBorders>
                        <w:tcMar/>
                        <w:vAlign w:val="top"/>
                      </w:tcPr>
                      <w:p>
                        <w:r>
                          <w:t xml:space="preserve">Self funded - overnight</w:t>
                        </w:r>
                      </w:p>
                    </w:tc>
                  </w:tr>
                  <w:tr>
                    <w:trPr/>
                    <w:tc>
                      <w:tcPr>
                        <w:tcW w:w="1000" w:type="pct"/>
                        <w:tcBorders>
                          <w:top w:val="none" w:color="000000" w:sz="0"/>
                          <w:left w:val="none" w:color="000000" w:sz="0"/>
                          <w:bottom w:val="none" w:color="000000" w:sz="0"/>
                          <w:right w:val="none" w:color="000000" w:sz="0"/>
                        </w:tcBorders>
                        <w:tcMar/>
                        <w:vAlign w:val="top"/>
                      </w:tcPr>
                      <w:p>
                        <w:r>
                          <w:t xml:space="preserve">SFSD </w:t>
                        </w:r>
                      </w:p>
                    </w:tc>
                    <w:tc>
                      <w:tcPr>
                        <w:tcBorders>
                          <w:top w:val="none" w:color="000000" w:sz="0"/>
                          <w:left w:val="none" w:color="000000" w:sz="0"/>
                          <w:bottom w:val="none" w:color="000000" w:sz="0"/>
                          <w:right w:val="none" w:color="000000" w:sz="0"/>
                        </w:tcBorders>
                        <w:tcMar/>
                        <w:vAlign w:val="top"/>
                      </w:tcPr>
                      <w:p>
                        <w:r>
                          <w:t xml:space="preserve">Self funded - same day</w:t>
                        </w:r>
                      </w:p>
                    </w:tc>
                  </w:tr>
                  <w:tr>
                    <w:trPr/>
                    <w:tc>
                      <w:tcPr>
                        <w:tcW w:w="1000" w:type="pct"/>
                        <w:tcBorders>
                          <w:top w:val="none" w:color="000000" w:sz="0"/>
                          <w:left w:val="none" w:color="000000" w:sz="0"/>
                          <w:bottom w:val="none" w:color="000000" w:sz="0"/>
                          <w:right w:val="none" w:color="000000" w:sz="0"/>
                        </w:tcBorders>
                        <w:tcMar/>
                        <w:vAlign w:val="top"/>
                      </w:tcPr>
                      <w:p>
                        <w:r>
                          <w:t xml:space="preserve">TRANS </w:t>
                        </w:r>
                      </w:p>
                    </w:tc>
                    <w:tc>
                      <w:tcPr>
                        <w:tcBorders>
                          <w:top w:val="none" w:color="000000" w:sz="0"/>
                          <w:left w:val="none" w:color="000000" w:sz="0"/>
                          <w:bottom w:val="none" w:color="000000" w:sz="0"/>
                          <w:right w:val="none" w:color="000000" w:sz="0"/>
                        </w:tcBorders>
                        <w:tcMar/>
                        <w:vAlign w:val="top"/>
                      </w:tcPr>
                      <w:p>
                        <w:r>
                          <w:t xml:space="preserve">Transitional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WC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WCS </w:t>
                        </w:r>
                      </w:p>
                    </w:tc>
                    <w:tc>
                      <w:tcPr>
                        <w:tcBorders>
                          <w:top w:val="none" w:color="000000" w:sz="0"/>
                          <w:left w:val="none" w:color="000000" w:sz="0"/>
                          <w:bottom w:val="none" w:color="000000" w:sz="0"/>
                          <w:right w:val="none" w:color="000000" w:sz="0"/>
                        </w:tcBorders>
                        <w:tcMar/>
                        <w:vAlign w:val="top"/>
                      </w:tcPr>
                      <w:p>
                        <w:r>
                          <w:t xml:space="preserve">Worker's compensation - staff</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99ab95dba6ba4ec7">
                    <w:r>
                      <w:rPr>
                        <w:rStyle w:val="Hyperlink"/>
                      </w:rPr>
                      <w:t xml:space="preserve">Tasmanian urgency of admission</w:t>
                    </w:r>
                  </w:hyperlink>
                </w:p>
              </w:tc>
              <w:tc>
                <w:tcPr>
                  <w:vAlign w:val="top"/>
                </w:tcPr>
                <w:p>
                  <w:r>
                    <w:t xml:space="preserve">442688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readmission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27</w:t>
                  </w:r>
                </w:p>
              </w:tc>
              <w:tc>
                <w:tcPr>
                  <w:tcMar/>
                  <w:vAlign w:val="top"/>
                </w:tcPr>
                <w:p>
                  <w:hyperlink w:history="true" r:id="Racbcb2c9f4034c7a">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cebb0e0ace85462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181c614b1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b0e0ace854628" /><Relationship Type="http://schemas.openxmlformats.org/officeDocument/2006/relationships/header" Target="/word/header1.xml" Id="Re252e04428f44a3d" /><Relationship Type="http://schemas.openxmlformats.org/officeDocument/2006/relationships/settings" Target="/word/settings.xml" Id="Rea1cadde7d404edb" /><Relationship Type="http://schemas.openxmlformats.org/officeDocument/2006/relationships/styles" Target="/word/styles.xml" Id="Rf39598fe44fa4e09" /><Relationship Type="http://schemas.openxmlformats.org/officeDocument/2006/relationships/hyperlink" Target="https://meteor-uat.aihw.gov.au/content/699586" TargetMode="External" Id="Ra841daa0d14d4053" /><Relationship Type="http://schemas.openxmlformats.org/officeDocument/2006/relationships/hyperlink" Target="https://meteor-uat.aihw.gov.au/content/699606" TargetMode="External" Id="R70270ea3fdb54817" /><Relationship Type="http://schemas.openxmlformats.org/officeDocument/2006/relationships/hyperlink" Target="https://meteor-uat.aihw.gov.au/content/269967" TargetMode="External" Id="R87c81e3742c849a3" /><Relationship Type="http://schemas.openxmlformats.org/officeDocument/2006/relationships/hyperlink" Target="https://meteor-uat.aihw.gov.au/content/431562" TargetMode="External" Id="Rdfe4976564604f9c" /><Relationship Type="http://schemas.openxmlformats.org/officeDocument/2006/relationships/hyperlink" Target="https://meteor-uat.aihw.gov.au/content/269972" TargetMode="External" Id="Rba5338aa98ee4038" /><Relationship Type="http://schemas.openxmlformats.org/officeDocument/2006/relationships/hyperlink" Target="https://meteor-uat.aihw.gov.au/content/714936" TargetMode="External" Id="Ra24655fee82141fa" /><Relationship Type="http://schemas.openxmlformats.org/officeDocument/2006/relationships/hyperlink" Target="https://meteor-uat.aihw.gov.au/content/689947" TargetMode="External" Id="R47211b1c84014cfa" /><Relationship Type="http://schemas.openxmlformats.org/officeDocument/2006/relationships/hyperlink" Target="https://meteor-uat.aihw.gov.au/content/652006" TargetMode="External" Id="R485ca3b1b5ae4e20" /><Relationship Type="http://schemas.openxmlformats.org/officeDocument/2006/relationships/hyperlink" Target="https://meteor-uat.aihw.gov.au/content/699733" TargetMode="External" Id="R1f85037a4a0942b9" /><Relationship Type="http://schemas.openxmlformats.org/officeDocument/2006/relationships/hyperlink" Target="https://meteor-uat.aihw.gov.au/content/686115" TargetMode="External" Id="R57c766db2df64485" /><Relationship Type="http://schemas.openxmlformats.org/officeDocument/2006/relationships/hyperlink" Target="https://meteor-uat.aihw.gov.au/content/442681" TargetMode="External" Id="R760b02bfdf474def" /><Relationship Type="http://schemas.openxmlformats.org/officeDocument/2006/relationships/hyperlink" Target="https://meteor-uat.aihw.gov.au/content/270251" TargetMode="External" Id="R1552eb4fc5034d37" /><Relationship Type="http://schemas.openxmlformats.org/officeDocument/2006/relationships/hyperlink" Target="https://meteor-uat.aihw.gov.au/content/534063" TargetMode="External" Id="Rcc7993bf78bd4fae" /><Relationship Type="http://schemas.openxmlformats.org/officeDocument/2006/relationships/hyperlink" Target="https://meteor-uat.aihw.gov.au/content/269982" TargetMode="External" Id="R2f110bb2a66e4e31" /><Relationship Type="http://schemas.openxmlformats.org/officeDocument/2006/relationships/hyperlink" Target="https://meteor-uat.aihw.gov.au/content/471553" TargetMode="External" Id="R47da728c4fea4325" /><Relationship Type="http://schemas.openxmlformats.org/officeDocument/2006/relationships/hyperlink" Target="https://meteor-uat.aihw.gov.au/content/690019" TargetMode="External" Id="Re82e3b68239e4b18" /><Relationship Type="http://schemas.openxmlformats.org/officeDocument/2006/relationships/hyperlink" Target="https://meteor-uat.aihw.gov.au/content/326619" TargetMode="External" Id="R6b6121889bc34603" /><Relationship Type="http://schemas.openxmlformats.org/officeDocument/2006/relationships/hyperlink" Target="https://meteor-uat.aihw.gov.au/content/699735" TargetMode="External" Id="R296b40882d6641c2" /><Relationship Type="http://schemas.openxmlformats.org/officeDocument/2006/relationships/hyperlink" Target="https://meteor-uat.aihw.gov.au/content/699609" TargetMode="External" Id="Rc7c082881b604450" /><Relationship Type="http://schemas.openxmlformats.org/officeDocument/2006/relationships/hyperlink" Target="https://meteor-uat.aihw.gov.au/content/699716" TargetMode="External" Id="R686a9e9e2f944347" /><Relationship Type="http://schemas.openxmlformats.org/officeDocument/2006/relationships/hyperlink" Target="https://meteor-uat.aihw.gov.au/content/552375" TargetMode="External" Id="R8f0101649f5d4c80" /><Relationship Type="http://schemas.openxmlformats.org/officeDocument/2006/relationships/hyperlink" Target="https://meteor-uat.aihw.gov.au/content/270025" TargetMode="External" Id="Rcd4ff0e3bdde4c81" /><Relationship Type="http://schemas.openxmlformats.org/officeDocument/2006/relationships/hyperlink" Target="https://meteor-uat.aihw.gov.au/content/441661" TargetMode="External" Id="Rd9e868f70d444879" /><Relationship Type="http://schemas.openxmlformats.org/officeDocument/2006/relationships/hyperlink" Target="https://meteor-uat.aihw.gov.au/content/270026" TargetMode="External" Id="Re56dfd435ad94499" /><Relationship Type="http://schemas.openxmlformats.org/officeDocument/2006/relationships/hyperlink" Target="https://meteor-uat.aihw.gov.au/content/417677" TargetMode="External" Id="Rd52793587cf54d8f" /><Relationship Type="http://schemas.openxmlformats.org/officeDocument/2006/relationships/hyperlink" Target="https://meteor-uat.aihw.gov.au/content/442688" TargetMode="External" Id="R99ab95dba6ba4ec7" /><Relationship Type="http://schemas.openxmlformats.org/officeDocument/2006/relationships/hyperlink" Target="https://meteor-uat.aihw.gov.au/content/310245" TargetMode="External" Id="Racbcb2c9f4034c7a" /></Relationships>
</file>

<file path=word/_rels/header1.xml.rels>&#65279;<?xml version="1.0" encoding="utf-8"?><Relationships xmlns="http://schemas.openxmlformats.org/package/2006/relationships"><Relationship Type="http://schemas.openxmlformats.org/officeDocument/2006/relationships/image" Target="/media/image.png" Id="Rcfc181c614b14aa2" /></Relationships>
</file>