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d56c914964e84" /></Relationships>
</file>

<file path=word/document.xml><?xml version="1.0" encoding="utf-8"?>
<w:document xmlns:r="http://schemas.openxmlformats.org/officeDocument/2006/relationships" xmlns:w="http://schemas.openxmlformats.org/wordprocessingml/2006/main">
  <w:body>
    <w:p>
      <w:pPr>
        <w:pStyle w:val="Title"/>
      </w:pPr>
      <w:r>
        <w:t>Dwelling—household occupancy indicator, housing occupancy and tenantable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Dwelling—household occupancy indicator, housing occupancy and tenantable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 occupancy and tenantable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141b3b22a4a39">
              <w:r>
                <w:rPr>
                  <w:rStyle w:val="Hyperlink"/>
                  <w:color w:val="244061"/>
                </w:rPr>
                <w:t xml:space="preserve">Housing assistance</w:t>
              </w:r>
            </w:hyperlink>
            <w:r>
              <w:rPr>
                <w:rStyle w:val="row-content"/>
                <w:color w:val="244061"/>
              </w:rPr>
              <w:t xml:space="preserve">, Standard 10/05/2019</w:t>
            </w:r>
          </w:p>
          <w:p>
            <w:pPr>
              <w:spacing w:before="0" w:after="0"/>
            </w:pPr>
            <w:hyperlink w:history="true" r:id="R530c712a946747b2">
              <w:r>
                <w:rPr>
                  <w:rStyle w:val="Hyperlink"/>
                  <w:color w:val="244061"/>
                </w:rPr>
                <w:t xml:space="preserve">AIHW Data Quality Statements</w:t>
              </w:r>
            </w:hyperlink>
            <w:r>
              <w:rPr>
                <w:rStyle w:val="row-content"/>
                <w:color w:val="244061"/>
              </w:rPr>
              <w:t xml:space="preserve">, Standard 04/07/2019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dwelling is occupied or not, and the tenantable condition of the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dwelling is occupied under a formal tenancy agreement by a household.</w:t>
            </w:r>
          </w:p>
          <w:p>
            <w:pPr/>
            <w:r>
              <w:rPr>
                <w:rStyle w:val="row-content-rich-text"/>
              </w:rPr>
              <w:t xml:space="preserve">Dwelling tenantability is related to the concept of tenant with its associated rights and responsibilities. A tenantable dwelling usually provides that a certain level of basic amenity and maintenance is completed to the required minimum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982658f84c4a5b">
              <w:r>
                <w:rPr>
                  <w:rStyle w:val="Hyperlink"/>
                </w:rPr>
                <w:t xml:space="preserve">Dwelling—household occupancy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f6f39cbc134be5">
              <w:r>
                <w:rPr>
                  <w:rStyle w:val="Hyperlink"/>
                </w:rPr>
                <w:t xml:space="preserve">Housing occupancy and tenantable status</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Occupied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Unoccupied dwelling,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Unoccupied dwelling,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Occupied</w:t>
            </w:r>
          </w:p>
          <w:p>
            <w:pPr>
              <w:spacing w:after="160"/>
            </w:pPr>
            <w:r>
              <w:rPr>
                <w:rStyle w:val="row-content-rich-text"/>
              </w:rPr>
              <w:t xml:space="preserve">A household has a formal tenancy agreement for a particular dwelling. Occupied dwellings include any structures that people actually live in regardless of its intended purpose. The structure may or may not be tenantable.</w:t>
            </w:r>
          </w:p>
          <w:p>
            <w:pPr>
              <w:spacing w:after="160"/>
            </w:pPr>
            <w:r>
              <w:rPr>
                <w:rStyle w:val="row-content-rich-text"/>
              </w:rPr>
              <w:t xml:space="preserve">CODE 2    Unoccupied, tenantable</w:t>
            </w:r>
          </w:p>
          <w:p>
            <w:pPr>
              <w:spacing w:after="160"/>
            </w:pPr>
            <w:r>
              <w:rPr>
                <w:rStyle w:val="row-content-rich-text"/>
              </w:rPr>
              <w:t xml:space="preserve">No formal tenancy agreement exists between a household and a housing provider for a particular dwelling. A not occupied structure is only a dwelling if it is intended for human residence. The structure is tenantable, thus provides a certain level of basic amenity and maintenance is completed to the required minimum level.</w:t>
            </w:r>
          </w:p>
          <w:p>
            <w:pPr>
              <w:spacing w:after="160"/>
            </w:pPr>
            <w:r>
              <w:rPr>
                <w:rStyle w:val="row-content-rich-text"/>
              </w:rPr>
              <w:t xml:space="preserve">CODE 3   Unoccupied, untenantable</w:t>
            </w:r>
          </w:p>
          <w:p>
            <w:pPr/>
            <w:r>
              <w:rPr>
                <w:rStyle w:val="row-content-rich-text"/>
              </w:rPr>
              <w:t xml:space="preserve">No formal tenancy agreement exists between a household and a housing provider for a particular dwelling. A not occupied structure is only a dwelling if it is intended for human residence. The structure is not tenantable, thus the dwelling does not provide a certain level of basic amenity and maintenance is completed to the required minimum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 occupancy status describes whether a dwelling is occupied by tenants at 30 June of the reference year. A dwelling may be occupied (with people living in the dwelling), untenantable (unoccupied due to dwelling condition) or vacant/unoccupied (but tenantable).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6df0c62b6d452f">
              <w:r>
                <w:rPr>
                  <w:rStyle w:val="Hyperlink"/>
                </w:rPr>
                <w:t xml:space="preserve">Indigenous Community Housing DSS 2018-</w:t>
              </w:r>
            </w:hyperlink>
          </w:p>
          <w:p>
            <w:pPr>
              <w:pStyle w:val="registration-status"/>
              <w:spacing w:before="0" w:after="0"/>
            </w:pPr>
            <w:hyperlink w:history="true" r:id="R532ccdb5f2f3425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1316e293973d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30caae66a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16e293973d422f" /><Relationship Type="http://schemas.openxmlformats.org/officeDocument/2006/relationships/header" Target="/word/header1.xml" Id="R6bd80d2d3cf84883" /><Relationship Type="http://schemas.openxmlformats.org/officeDocument/2006/relationships/settings" Target="/word/settings.xml" Id="Racf084cd8ebd4c28" /><Relationship Type="http://schemas.openxmlformats.org/officeDocument/2006/relationships/styles" Target="/word/styles.xml" Id="Re5969fb306d442f9" /><Relationship Type="http://schemas.openxmlformats.org/officeDocument/2006/relationships/hyperlink" Target="https://meteor-uat.aihw.gov.au/RegistrationAuthority/13" TargetMode="External" Id="R0a6141b3b22a4a39" /><Relationship Type="http://schemas.openxmlformats.org/officeDocument/2006/relationships/hyperlink" Target="https://meteor-uat.aihw.gov.au/RegistrationAuthority/8" TargetMode="External" Id="R530c712a946747b2" /><Relationship Type="http://schemas.openxmlformats.org/officeDocument/2006/relationships/hyperlink" Target="https://meteor-uat.aihw.gov.au/content/608114" TargetMode="External" Id="R10982658f84c4a5b" /><Relationship Type="http://schemas.openxmlformats.org/officeDocument/2006/relationships/hyperlink" Target="https://meteor-uat.aihw.gov.au/content/713807" TargetMode="External" Id="R82f6f39cbc134be5" /><Relationship Type="http://schemas.openxmlformats.org/officeDocument/2006/relationships/hyperlink" Target="https://meteor-uat.aihw.gov.au/content/711226" TargetMode="External" Id="R666df0c62b6d452f" /><Relationship Type="http://schemas.openxmlformats.org/officeDocument/2006/relationships/hyperlink" Target="https://meteor-uat.aihw.gov.au/RegistrationAuthority/13" TargetMode="External" Id="R532ccdb5f2f3425d" /></Relationships>
</file>

<file path=word/_rels/header1.xml.rels>&#65279;<?xml version="1.0" encoding="utf-8"?><Relationships xmlns="http://schemas.openxmlformats.org/package/2006/relationships"><Relationship Type="http://schemas.openxmlformats.org/officeDocument/2006/relationships/image" Target="/media/image.png" Id="R5af30caae66a431a" /></Relationships>
</file>