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b93e1fa0e84f63"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5f1e1604b460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(ICH) data set specification defines information about Indigenous community housing organisations (ICHOs), the dwellings they manage and the households assisted.</w:t>
            </w:r>
          </w:p>
          <w:p>
            <w:pPr>
              <w:spacing w:after="160"/>
            </w:pPr>
            <w:r>
              <w:rPr>
                <w:rStyle w:val="row-content-rich-text"/>
              </w:rPr>
              <w:t xml:space="preserve">ICHOs are any Aboriginal and/or Torres Strait Islander organisations that are responsible for managing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ICH data set specification includes dwellings:</w:t>
            </w:r>
          </w:p>
          <w:p>
            <w:pPr>
              <w:pStyle w:val="ListParagraph"/>
              <w:numPr>
                <w:ilvl w:val="0"/>
                <w:numId w:val="2"/>
              </w:numPr>
            </w:pPr>
            <w:r>
              <w:rPr>
                <w:rStyle w:val="row-content-rich-text"/>
              </w:rPr>
              <w:t xml:space="preserve">managed by Indigenous community housing organisations (ICHO) </w:t>
            </w:r>
          </w:p>
          <w:p>
            <w:pPr>
              <w:pStyle w:val="ListParagraph"/>
              <w:numPr>
                <w:ilvl w:val="0"/>
                <w:numId w:val="2"/>
              </w:numPr>
            </w:pPr>
            <w:r>
              <w:rPr>
                <w:rStyle w:val="row-content-rich-text"/>
              </w:rPr>
              <w:t xml:space="preserve">available for medium- to long-term housing tenure</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The ICH data set specification excludes dwellings:</w:t>
            </w:r>
          </w:p>
          <w:p>
            <w:pPr>
              <w:pStyle w:val="ListParagraph"/>
              <w:numPr>
                <w:ilvl w:val="0"/>
                <w:numId w:val="3"/>
              </w:numPr>
            </w:pPr>
            <w:r>
              <w:rPr>
                <w:rStyle w:val="row-content-rich-text"/>
              </w:rPr>
              <w:t xml:space="preserve">managed under:</w:t>
            </w:r>
            <w:r>
              <w:br/>
            </w:r>
            <w:r>
              <w:rPr>
                <w:rStyle w:val="row-content-rich-text"/>
              </w:rPr>
              <w:t xml:space="preserve">        • community housing (i.e. not managed by an ICHO)</w:t>
            </w:r>
            <w:r>
              <w:br/>
            </w:r>
            <w:r>
              <w:rPr>
                <w:rStyle w:val="row-content-rich-text"/>
              </w:rPr>
              <w:t xml:space="preserve">        • public housing (PH)</w:t>
            </w:r>
            <w:r>
              <w:br/>
            </w:r>
            <w:r>
              <w:rPr>
                <w:rStyle w:val="row-content-rich-text"/>
              </w:rPr>
              <w:t xml:space="preserve">        • state owned and managed Indigenous housing (SOMIH)</w:t>
            </w:r>
            <w:r>
              <w:br/>
            </w:r>
            <w:r>
              <w:rPr>
                <w:rStyle w:val="row-content-rich-text"/>
              </w:rPr>
              <w:t xml:space="preserve">        • the Crisis Accommodation Program (CAP).</w:t>
            </w:r>
          </w:p>
          <w:p>
            <w:pPr>
              <w:pStyle w:val="ListParagraph"/>
              <w:numPr>
                <w:ilvl w:val="0"/>
                <w:numId w:val="3"/>
              </w:numPr>
            </w:pPr>
            <w:r>
              <w:rPr>
                <w:rStyle w:val="row-content-rich-text"/>
              </w:rPr>
              <w:t xml:space="preserve">no longer under the administration of the ICHO at 30 June of the reference year (including dwellings demolished, sold or otherwise disposed of); and</w:t>
            </w:r>
          </w:p>
          <w:p>
            <w:pPr>
              <w:pStyle w:val="ListParagraph"/>
              <w:numPr>
                <w:ilvl w:val="0"/>
                <w:numId w:val="3"/>
              </w:numPr>
            </w:pPr>
            <w:r>
              <w:rPr>
                <w:rStyle w:val="row-content-rich-text"/>
              </w:rPr>
              <w:t xml:space="preserve">not yet available to the ICHO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2e415b828cb4acc">
              <w:r>
                <w:rPr>
                  <w:rStyle w:val="Hyperlink"/>
                </w:rPr>
                <w:t xml:space="preserve">Dwelling</w:t>
              </w:r>
            </w:hyperlink>
            <w:r>
              <w:rPr>
                <w:rStyle w:val="row-content-rich-text"/>
              </w:rPr>
              <w:t xml:space="preserve">, </w:t>
            </w:r>
            <w:hyperlink w:history="true" r:id="R4df9ff6e38274ecc">
              <w:r>
                <w:rPr>
                  <w:rStyle w:val="Hyperlink"/>
                </w:rPr>
                <w:t xml:space="preserve">Household</w:t>
              </w:r>
            </w:hyperlink>
            <w:r>
              <w:rPr>
                <w:rStyle w:val="row-content-rich-text"/>
              </w:rPr>
              <w:t xml:space="preserve"> and </w:t>
            </w:r>
            <w:hyperlink w:history="true" r:id="R59fb4dc72c73473d">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ICHOs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include:</w:t>
            </w:r>
          </w:p>
          <w:p>
            <w:hyperlink w:tooltip="A separate building (also referred to as a rooming or lodging house) containing multiple boarding/rooming/lodging house bedrooms and/or boarding house units." w:history="true" r:id="R1d47c590ae8e4b44">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95d444730904444">
              <w:r>
                <w:rPr>
                  <w:rStyle w:val="Hyperlink"/>
                  <w:b/>
                </w:rPr>
                <w:t xml:space="preserve">Boarding house room </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1198d0527d64825">
              <w:r>
                <w:rPr>
                  <w:rStyle w:val="Hyperlink"/>
                  <w:b/>
                </w:rPr>
                <w:t xml:space="preserve">Boarding house unit </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0509b51de8db40d3">
              <w:r>
                <w:rPr>
                  <w:rStyle w:val="Hyperlink"/>
                  <w:b/>
                </w:rPr>
                <w:t xml:space="preserve">Canadian National Occupancy Standard (CNOS)</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1ca304d08dd94669">
              <w:r>
                <w:rPr>
                  <w:rStyle w:val="Hyperlink"/>
                  <w:b/>
                </w:rPr>
                <w:t xml:space="preserve">Geographic indicator</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f7f7cea27a44c49">
              <w:r>
                <w:rPr>
                  <w:rStyle w:val="Hyperlink"/>
                  <w:b/>
                </w:rPr>
                <w:t xml:space="preserve">Household </w:t>
              </w:r>
            </w:hyperlink>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7f721db327554076">
              <w:r>
                <w:rPr>
                  <w:rStyle w:val="Hyperlink"/>
                  <w:b/>
                </w:rPr>
                <w:t xml:space="preserve">Non-cash housing assistance expenses </w:t>
              </w:r>
            </w:hyperlink>
          </w:p>
          <w:p>
            <w:hyperlink w:tooltip="A non-financial asset is an entity functioning as a store of value, over which ownership may be derived over a period of time, and which is not a financial asset." w:history="true" r:id="Ra3bb98ba001a450e">
              <w:r>
                <w:rPr>
                  <w:rStyle w:val="Hyperlink"/>
                  <w:b/>
                </w:rPr>
                <w:t xml:space="preserve">Non-financial asset</w:t>
              </w:r>
            </w:hyperlink>
          </w:p>
          <w:p>
            <w:hyperlink w:tooltip="Other non-salary expenses incurred by the service provider organisation through the provision of housing assistance. These expenses include:&#10;property-related expenses (e.g. rates, costs of disposals)&#10;office supplies and services (e.g. stationery, po..." w:history="true" r:id="R2a74f3cf9d414a55">
              <w:r>
                <w:rPr>
                  <w:rStyle w:val="Hyperlink"/>
                  <w:b/>
                </w:rPr>
                <w:t xml:space="preserve">Other non-salary housing assistance expenses </w:t>
              </w:r>
            </w:hyperlink>
          </w:p>
          <w:p>
            <w:hyperlink w:tooltip="A population cluster of 1,000 or more people." w:history="true" r:id="R7a56bf8f3d6d40d5">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eceeff04724f4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df4a8a693db410b">
              <w:r>
                <w:rPr>
                  <w:rStyle w:val="Hyperlink"/>
                </w:rPr>
                <w:t xml:space="preserve">Australian Institute of Health and Welfare (AIHW). Indigenous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8a18b5f1474f40">
              <w:r>
                <w:rPr>
                  <w:rStyle w:val="Hyperlink"/>
                </w:rPr>
                <w:t xml:space="preserve">Indigenous community housing DSS 2013-18</w:t>
              </w:r>
            </w:hyperlink>
          </w:p>
          <w:p>
            <w:pPr>
              <w:pStyle w:val="registration-status"/>
              <w:spacing w:before="0" w:after="0"/>
            </w:pPr>
            <w:hyperlink w:history="true" r:id="R5c4be6ebc2fe4d94">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52cdb1aa344ac">
                    <w:r>
                      <w:rPr>
                        <w:rStyle w:val="Hyperlink"/>
                      </w:rPr>
                      <w:t xml:space="preserve">Address—address line, text X[X(179)]</w:t>
                    </w:r>
                  </w:hyperlink>
                </w:p>
                <w:p>
                  <w:r>
                    <w:rPr>
                      <w:b/>
                      <w:i/>
                      <w:color w:val="333333"/>
                    </w:rPr>
                    <w:t xml:space="preserve">DSS specific information:</w:t>
                  </w:r>
                </w:p>
                <w:p>
                  <w:r>
                    <w:t xml:space="preserve">The permitted format for this metadata item is an alphanumeric string of 150 characters.</w:t>
                  </w:r>
                </w:p>
                <w:p>
                  <w:r>
                    <w:t xml:space="preserve">This metadata item is collected twice, once for the Indigenous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d510c9c2242b1">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collected twice, once for the Indigenous community housing provider's address (in the organisation file) and once for the dwelling address (in the dwelling file).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ee654daaa4801">
                    <w:r>
                      <w:rPr>
                        <w:rStyle w:val="Hyperlink"/>
                      </w:rPr>
                      <w:t xml:space="preserve">Address—geocode latitude, decimal degrees XN[N][.N(9)]</w:t>
                    </w:r>
                  </w:hyperlink>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7d4ff36294b69">
                    <w:r>
                      <w:rPr>
                        <w:rStyle w:val="Hyperlink"/>
                      </w:rPr>
                      <w:t xml:space="preserve">Address—geocode longitude, decimal degrees XN[NN][.N(9)]</w:t>
                    </w:r>
                  </w:hyperlink>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1556d63074877">
                    <w:r>
                      <w:rPr>
                        <w:rStyle w:val="Hyperlink"/>
                      </w:rPr>
                      <w:t xml:space="preserve">Address—suburb/town/locality name, text X[X(45)]</w:t>
                    </w:r>
                  </w:hyperlink>
                </w:p>
                <w:p>
                  <w:r>
                    <w:rPr>
                      <w:b/>
                      <w:i/>
                      <w:color w:val="333333"/>
                    </w:rPr>
                    <w:t xml:space="preserve">DSS specific information:</w:t>
                  </w:r>
                </w:p>
                <w:p>
                  <w:r>
                    <w:t xml:space="preserve">This metadata item is collected twice, once for the Indigenous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544684edd4b52">
                    <w:r>
                      <w:rPr>
                        <w:rStyle w:val="Hyperlink"/>
                      </w:rPr>
                      <w:t xml:space="preserve">Dwelling—Australian state/territory identifier, address code AA[A]</w:t>
                    </w:r>
                  </w:hyperlink>
                </w:p>
                <w:p>
                  <w:r>
                    <w:rPr>
                      <w:b/>
                      <w:i/>
                      <w:color w:val="333333"/>
                    </w:rPr>
                    <w:t xml:space="preserve">DSS specific information:</w:t>
                  </w:r>
                </w:p>
                <w:p>
                  <w:r>
                    <w:t xml:space="preserve">This metadata item is collected 3 times, once in each of the organisation, dwelling, and household files.</w:t>
                  </w:r>
                </w:p>
                <w:p>
                  <w:r>
                    <w:t xml:space="preserve">Code AAT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900a6a59d41fb">
                    <w:r>
                      <w:rPr>
                        <w:rStyle w:val="Hyperlink"/>
                      </w:rPr>
                      <w:t xml:space="preserve">Dwelling—geographic remoteness, classification (ASGS-RA) N</w:t>
                    </w:r>
                  </w:hyperlink>
                </w:p>
                <w:p>
                  <w:r>
                    <w:rPr>
                      <w:b/>
                      <w:i/>
                      <w:color w:val="333333"/>
                    </w:rPr>
                    <w:t xml:space="preserve">DSS specific information:</w:t>
                  </w:r>
                </w:p>
                <w:p>
                  <w:r>
                    <w:t xml:space="preserve">Record unknown values as ‘U’ and map to code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8a8eecd7f44ea">
                    <w:r>
                      <w:rPr>
                        <w:rStyle w:val="Hyperlink"/>
                      </w:rPr>
                      <w:t xml:space="preserve">Dwelling—household occupancy indicator, housing occupancy and tenantable status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a23c5d3ea47a7">
                    <w:r>
                      <w:rPr>
                        <w:rStyle w:val="Hyperlink"/>
                      </w:rPr>
                      <w:t xml:space="preserve">Dwelling—number of bedrooms, total N[NN]</w:t>
                    </w:r>
                  </w:hyperlink>
                </w:p>
                <w:p>
                  <w:r>
                    <w:rPr>
                      <w:b/>
                      <w:i/>
                      <w:color w:val="333333"/>
                    </w:rPr>
                    <w:t xml:space="preserve">DSS specific information:</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89907770649ca">
                    <w:r>
                      <w:rPr>
                        <w:rStyle w:val="Hyperlink"/>
                      </w:rPr>
                      <w:t xml:space="preserve">Dwelling—number of households, total N[N]</w:t>
                    </w:r>
                  </w:hyperlink>
                </w:p>
                <w:p>
                  <w:r>
                    <w:rPr>
                      <w:b/>
                      <w:i/>
                      <w:color w:val="333333"/>
                    </w:rPr>
                    <w:t xml:space="preserve">DSS specific information:</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065192722434f">
                    <w:r>
                      <w:rPr>
                        <w:rStyle w:val="Hyperlink"/>
                      </w:rPr>
                      <w:t xml:space="preserve">Dwelling—number of occupants, total N[N]</w:t>
                    </w:r>
                  </w:hyperlink>
                </w:p>
                <w:p>
                  <w:r>
                    <w:rPr>
                      <w:b/>
                      <w:i/>
                      <w:color w:val="333333"/>
                    </w:rPr>
                    <w:t xml:space="preserve">DSS specific information:</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eff126e6d4b23">
                    <w:r>
                      <w:rPr>
                        <w:rStyle w:val="Hyperlink"/>
                      </w:rPr>
                      <w:t xml:space="preserve">Dwelling—permanency status, code N</w:t>
                    </w:r>
                  </w:hyperlink>
                </w:p>
                <w:p>
                  <w:r>
                    <w:rPr>
                      <w:b/>
                      <w:i/>
                      <w:color w:val="333333"/>
                    </w:rPr>
                    <w:t xml:space="preserve">DSS specific information:</w:t>
                  </w:r>
                </w:p>
                <w:p>
                  <w:r>
                    <w:t xml:space="preserve">This collection uses an alternative code set. These codes should be mapped as follows:</w:t>
                  </w:r>
                </w:p>
                <w:p>
                  <w:r>
                    <w:t xml:space="preserve">1 (permanent) = 1 (yes)</w:t>
                  </w:r>
                </w:p>
                <w:p>
                  <w:r>
                    <w:t xml:space="preserve">0 (improvised) = 2 (no)</w:t>
                  </w:r>
                </w:p>
                <w:p>
                  <w:r>
                    <w:t xml:space="preserve">U (unknown)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037b5731443f3">
                    <w:r>
                      <w:rPr>
                        <w:rStyle w:val="Hyperlink"/>
                      </w:rPr>
                      <w:t xml:space="preserve">Dwelling—tenancy management status, code N</w:t>
                    </w:r>
                  </w:hyperlink>
                </w:p>
                <w:p>
                  <w:r>
                    <w:rPr>
                      <w:b/>
                      <w:i/>
                      <w:color w:val="333333"/>
                    </w:rPr>
                    <w:t xml:space="preserve">DSS specific information:</w:t>
                  </w:r>
                </w:p>
                <w:p>
                  <w:r>
                    <w:t xml:space="preserve">This metadata item is collected twice, once each in the organisation and dwelling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f797c108bc4138">
                    <w:r>
                      <w:rPr>
                        <w:rStyle w:val="Hyperlink"/>
                      </w:rPr>
                      <w:t xml:space="preserve">Person—date of birth, DDMMYYYY</w:t>
                    </w:r>
                  </w:hyperlink>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c050deaf94af2">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62af81fe24221">
                    <w:r>
                      <w:rPr>
                        <w:rStyle w:val="Hyperlink"/>
                      </w:rPr>
                      <w:t xml:space="preserve">Person—sex, code N</w:t>
                    </w:r>
                  </w:hyperlink>
                </w:p>
                <w:p>
                  <w:r>
                    <w:rPr>
                      <w:b/>
                      <w:i/>
                      <w:color w:val="333333"/>
                    </w:rPr>
                    <w:t xml:space="preserve">DSS specific information:</w:t>
                  </w:r>
                </w:p>
                <w:p>
                  <w:r>
                    <w:t xml:space="preserve">This collection uses an alternate code set. These codes should be mapped as follows:</w:t>
                  </w:r>
                </w:p>
                <w:p>
                  <w:r>
                    <w:t xml:space="preserve">M (male) = 1 (male)</w:t>
                  </w:r>
                </w:p>
                <w:p>
                  <w:r>
                    <w:t xml:space="preserve">F (female) = 2 (female)</w:t>
                  </w:r>
                </w:p>
                <w:p>
                  <w:r>
                    <w:t xml:space="preserve">U (unknown) = 9 (not stated/inadequately described).</w:t>
                  </w:r>
                </w:p>
                <w:p>
                  <w:r>
                    <w:t xml:space="preserve">Code 3 (intersex)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fe41f749be4169">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a995cb4c24687">
                    <w:r>
                      <w:rPr>
                        <w:rStyle w:val="Hyperlink"/>
                      </w:rPr>
                      <w:t xml:space="preserve">Service provider organisation—dwelling identifier, X[X(14)]</w:t>
                    </w:r>
                  </w:hyperlink>
                </w:p>
                <w:p>
                  <w:r>
                    <w:rPr>
                      <w:b/>
                      <w:i/>
                      <w:color w:val="333333"/>
                    </w:rPr>
                    <w:t xml:space="preserve">DSS specific information:</w:t>
                  </w:r>
                </w:p>
                <w:p>
                  <w:r>
                    <w:t xml:space="preserve">This metadata item is collected twice, once in each of the dwelling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8f2bc82204a8e">
                    <w:r>
                      <w:rPr>
                        <w:rStyle w:val="Hyperlink"/>
                      </w:rPr>
                      <w:t xml:space="preserve">Service provider organisation—government funding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(funded) = 1 (yes)</w:t>
                  </w:r>
                </w:p>
                <w:p>
                  <w:r>
                    <w:t xml:space="preserve">0 (unfunded) = 2 (no)</w:t>
                  </w:r>
                </w:p>
                <w:p>
                  <w:r>
                    <w:t xml:space="preserve">For the purposes of this collection:</w:t>
                  </w:r>
                </w:p>
                <w:p>
                  <w:pPr>
                    <w:pStyle w:val="ListParagraph"/>
                    <w:numPr>
                      <w:ilvl w:val="0"/>
                      <w:numId w:val="4"/>
                    </w:numPr>
                  </w:pPr>
                  <w:r>
                    <w:t xml:space="preserve">‘funded’ refers to an organisation that received government funding for the reference period, and ‘unfunded’ refers to an organisation that did not receive funding for the reference period;</w:t>
                  </w:r>
                </w:p>
                <w:p>
                  <w:pPr>
                    <w:pStyle w:val="ListParagraph"/>
                    <w:numPr>
                      <w:ilvl w:val="0"/>
                      <w:numId w:val="4"/>
                    </w:numPr>
                  </w:pPr>
                  <w:r>
                    <w:t xml:space="preserve">where a state/territory housing authority is responsible for managing ICH tenancies for Indigenous people, they are considered a 'funded' organisation.</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eb42e41ed45bc">
                    <w:r>
                      <w:rPr>
                        <w:rStyle w:val="Hyperlink"/>
                      </w:rPr>
                      <w:t xml:space="preserve">Service provider organisation—gross capital expenditure, total Australian currency N[N(8)].NN</w:t>
                    </w:r>
                  </w:hyperlink>
                </w:p>
                <w:p>
                  <w:r>
                    <w:rPr>
                      <w:b/>
                      <w:i/>
                      <w:color w:val="333333"/>
                    </w:rPr>
                    <w:t xml:space="preserve">DSS specific information:</w:t>
                  </w:r>
                </w:p>
                <w:p>
                  <w:r>
                    <w:t xml:space="preserve">For the purposes of this collection, capital expenditure is defined according to the following parameters:</w:t>
                  </w:r>
                </w:p>
                <w:p>
                  <w:r>
                    <w:rPr>
                      <w:b/>
                    </w:rPr>
                    <w:t xml:space="preserve">Include:</w:t>
                  </w:r>
                </w:p>
                <w:p>
                  <w:pPr>
                    <w:pStyle w:val="ListParagraph"/>
                    <w:numPr>
                      <w:ilvl w:val="0"/>
                      <w:numId w:val="5"/>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6"/>
                    </w:numPr>
                  </w:pPr>
                  <w:r>
                    <w:t xml:space="preserve">Expenditure on the acquisition of financial assets</w:t>
                  </w:r>
                </w:p>
                <w:p>
                  <w:pPr>
                    <w:pStyle w:val="ListParagraph"/>
                    <w:numPr>
                      <w:ilvl w:val="0"/>
                      <w:numId w:val="6"/>
                    </w:numPr>
                  </w:pPr>
                  <w:r>
                    <w:t xml:space="preserve">Second-hand assets imported into the country for the first time which are regarded as new.</w:t>
                  </w:r>
                </w:p>
                <w:p>
                  <w:pPr>
                    <w:pStyle w:val="ListParagraph"/>
                    <w:numPr>
                      <w:ilvl w:val="0"/>
                      <w:numId w:val="6"/>
                    </w:numPr>
                  </w:pPr>
                  <w:r>
                    <w:t xml:space="preserve">Assets acquired under finance lease arrangements.</w:t>
                  </w:r>
                </w:p>
                <w:p>
                  <w:pPr>
                    <w:pStyle w:val="ListParagraph"/>
                    <w:numPr>
                      <w:ilvl w:val="0"/>
                      <w:numId w:val="6"/>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63cb9126947c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9b76b94424c7e">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Includes all housing maintenance expenses from the organisation’s financial reporting statement.  This includes:</w:t>
                  </w:r>
                </w:p>
                <w:p>
                  <w:pPr>
                    <w:pStyle w:val="ListParagraph"/>
                    <w:numPr>
                      <w:ilvl w:val="0"/>
                      <w:numId w:val="7"/>
                    </w:numPr>
                  </w:pPr>
                  <w:r>
                    <w:t xml:space="preserve">day-to-day maintenance reflecting general wear and tear;</w:t>
                  </w:r>
                </w:p>
                <w:p>
                  <w:pPr>
                    <w:pStyle w:val="ListParagraph"/>
                    <w:numPr>
                      <w:ilvl w:val="0"/>
                      <w:numId w:val="7"/>
                    </w:numPr>
                  </w:pPr>
                  <w:r>
                    <w:t xml:space="preserve">cyclical maintenance which is part of a planned maintenance program; and</w:t>
                  </w:r>
                </w:p>
                <w:p>
                  <w:pPr>
                    <w:pStyle w:val="ListParagraph"/>
                    <w:numPr>
                      <w:ilvl w:val="0"/>
                      <w:numId w:val="7"/>
                    </w:numPr>
                  </w:pPr>
                  <w:r>
                    <w:t xml:space="preserve">other maintenance (e.g. repairs due to vandalism).</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237b9cf72746b6">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metadata item records the net recurrent cost to the service provider organisation.</w:t>
                  </w:r>
                </w:p>
                <w:p>
                  <w:r>
                    <w:t xml:space="preserve"> </w:t>
                  </w:r>
                </w:p>
                <w:p>
                  <w:r>
                    <w:t xml:space="preserve">Record unknown values as ‘U’.</w:t>
                  </w:r>
                </w:p>
                <w:p>
                  <w:r>
                    <w:t xml:space="preserve">Record total recurrent housing expenses less the following non-cash expenses:</w:t>
                  </w:r>
                </w:p>
                <w:p>
                  <w:pPr>
                    <w:pStyle w:val="ListParagraph"/>
                    <w:numPr>
                      <w:ilvl w:val="0"/>
                      <w:numId w:val="8"/>
                    </w:numPr>
                  </w:pPr>
                  <w:r>
                    <w:t xml:space="preserve">Grants and subsidies (excluding rental subsidies);</w:t>
                  </w:r>
                </w:p>
                <w:p>
                  <w:pPr>
                    <w:pStyle w:val="ListParagraph"/>
                    <w:numPr>
                      <w:ilvl w:val="0"/>
                      <w:numId w:val="8"/>
                    </w:numPr>
                  </w:pPr>
                  <w:r>
                    <w:t xml:space="preserve">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8"/>
                    </w:numPr>
                  </w:pPr>
                  <w:r>
                    <w:t xml:space="preserve">Loss on disposal of assets</w:t>
                  </w:r>
                </w:p>
                <w:p>
                  <w:pPr>
                    <w:pStyle w:val="ListParagraph"/>
                    <w:numPr>
                      <w:ilvl w:val="0"/>
                      <w:numId w:val="8"/>
                    </w:numPr>
                  </w:pPr>
                  <w:r>
                    <w:t xml:space="preserve">Loss on revaluation of assets</w:t>
                  </w:r>
                </w:p>
                <w:p>
                  <w:pPr>
                    <w:pStyle w:val="ListParagraph"/>
                    <w:numPr>
                      <w:ilvl w:val="0"/>
                      <w:numId w:val="8"/>
                    </w:numPr>
                  </w:pPr>
                  <w:r>
                    <w:t xml:space="preserve">Impairment expenses</w:t>
                  </w:r>
                </w:p>
                <w:p>
                  <w:pPr>
                    <w:pStyle w:val="ListParagraph"/>
                    <w:numPr>
                      <w:ilvl w:val="0"/>
                      <w:numId w:val="8"/>
                    </w:numPr>
                  </w:pPr>
                  <w:r>
                    <w:t xml:space="preserve">Assets and services provided free of 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c3bf5af4b4668">
                    <w:r>
                      <w:rPr>
                        <w:rStyle w:val="Hyperlink"/>
                      </w:rPr>
                      <w:t xml:space="preserve">Service provider organisation—number of improvised dwellings managed, total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21c157e3f4248">
                    <w:r>
                      <w:rPr>
                        <w:rStyle w:val="Hyperlink"/>
                      </w:rPr>
                      <w:t xml:space="preserve">Service provider organisation—number of permanent dwellings managed, total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24f67a24145e6">
                    <w:r>
                      <w:rPr>
                        <w:rStyle w:val="Hyperlink"/>
                      </w:rPr>
                      <w:t xml:space="preserve">Service provider organisation—organisation identifier, X[X(14)]</w:t>
                    </w:r>
                  </w:hyperlink>
                </w:p>
                <w:p>
                  <w:r>
                    <w:rPr>
                      <w:b/>
                      <w:i/>
                      <w:color w:val="333333"/>
                    </w:rPr>
                    <w:t xml:space="preserve">DSS specific information:</w:t>
                  </w:r>
                </w:p>
                <w:p>
                  <w:r>
                    <w:t xml:space="preserve">This metadata item is collect three times, once in each of the organisation, dwelling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6485ac9cc4456">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4caf38fc246e7">
                    <w:r>
                      <w:rPr>
                        <w:rStyle w:val="Hyperlink"/>
                      </w:rPr>
                      <w:t xml:space="preserve">Service provider organisation—total household rent charged, Australian currency N[N(8)].NN</w:t>
                    </w:r>
                  </w:hyperlink>
                </w:p>
                <w:p>
                  <w:r>
                    <w:rPr>
                      <w:b/>
                      <w:i/>
                      <w:color w:val="333333"/>
                    </w:rPr>
                    <w:t xml:space="preserve">DSS specific information:</w:t>
                  </w:r>
                </w:p>
                <w:p>
                  <w:r>
                    <w:t xml:space="preserve">Record rent charged for the reference year.</w:t>
                  </w:r>
                </w:p>
                <w:p>
                  <w:r>
                    <w:t xml:space="preserve">Rent charged is the total amount of money the Indigenous community housing organisation's households have been asked to pay during the reference year (ending 30 June). It may differ from market rent and may not have been received.</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bf2d910174262">
                    <w:r>
                      <w:rPr>
                        <w:rStyle w:val="Hyperlink"/>
                      </w:rPr>
                      <w:t xml:space="preserve">Service provider organisation—total household rent collected, Australian currency N[N(8)].NN</w:t>
                    </w:r>
                  </w:hyperlink>
                </w:p>
                <w:p>
                  <w:r>
                    <w:rPr>
                      <w:b/>
                      <w:i/>
                      <w:color w:val="333333"/>
                    </w:rPr>
                    <w:t xml:space="preserve">Conditional obligation:</w:t>
                  </w:r>
                </w:p>
                <w:p>
                  <w:r>
                    <w:t xml:space="preserve">Record rent collected for the reference year.</w:t>
                  </w:r>
                </w:p>
                <w:p>
                  <w:r>
                    <w:t xml:space="preserve">The total amount of rent collected from all tenants of an Indigenous community housing organisation.</w:t>
                  </w:r>
                </w:p>
                <w:p>
                  <w:r>
                    <w:t xml:space="preserve">It includes:</w:t>
                  </w:r>
                </w:p>
                <w:p>
                  <w:pPr>
                    <w:pStyle w:val="ListParagraph"/>
                    <w:numPr>
                      <w:ilvl w:val="0"/>
                      <w:numId w:val="9"/>
                    </w:numPr>
                  </w:pPr>
                  <w:r>
                    <w:t xml:space="preserve">rent arrears collected in the reference year (ending 30 June)</w:t>
                  </w:r>
                </w:p>
                <w:p>
                  <w:pPr>
                    <w:pStyle w:val="ListParagraph"/>
                    <w:numPr>
                      <w:ilvl w:val="0"/>
                      <w:numId w:val="9"/>
                    </w:numPr>
                  </w:pPr>
                  <w:r>
                    <w:t xml:space="preserve">prepaid rent collected in the reference year for subsequent years.</w:t>
                  </w:r>
                </w:p>
                <w:p>
                  <w:r>
                    <w:t xml:space="preserve">As such, the total rent collected over a 12 month period may be more than the total rent charged in the same period.</w:t>
                  </w:r>
                </w:p>
                <w:p>
                  <w:r>
                    <w:t xml:space="preserve">Record unknown values as ‘U’.</w:t>
                  </w:r>
                </w:p>
                <w:p>
                  <w:r>
                    <w:rPr>
                      <w:b/>
                      <w:i/>
                      <w:color w:val="333333"/>
                    </w:rPr>
                    <w:t xml:space="preserve">DSS specific information:</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7f24cb9c14e28">
                    <w:r>
                      <w:rPr>
                        <w:rStyle w:val="Hyperlink"/>
                      </w:rPr>
                      <w:t xml:space="preserve">Service provider organisation—total recurrent housing expenses, total Australian currency N[N(8)].NN</w:t>
                    </w:r>
                  </w:hyperlink>
                </w:p>
                <w:p>
                  <w:r>
                    <w:rPr>
                      <w:b/>
                      <w:i/>
                      <w:color w:val="333333"/>
                    </w:rPr>
                    <w:t xml:space="preserve">DSS specific information:</w:t>
                  </w:r>
                </w:p>
                <w:p>
                  <w:r>
                    <w:rPr>
                      <w:b/>
                    </w:rPr>
                    <w:t xml:space="preserve">Includes:</w:t>
                  </w:r>
                </w:p>
                <w:p>
                  <w:r>
                    <w:rPr>
                      <w:b/>
                    </w:rPr>
                    <w:t xml:space="preserve">Employee expenses, including: </w:t>
                  </w:r>
                </w:p>
                <w:p>
                  <w:pPr>
                    <w:pStyle w:val="ListParagraph"/>
                    <w:numPr>
                      <w:ilvl w:val="0"/>
                      <w:numId w:val="10"/>
                    </w:numPr>
                  </w:pPr>
                  <w:r>
                    <w:t xml:space="preserve">wages and salaries</w:t>
                  </w:r>
                </w:p>
                <w:p>
                  <w:pPr>
                    <w:pStyle w:val="ListParagraph"/>
                    <w:numPr>
                      <w:ilvl w:val="0"/>
                      <w:numId w:val="10"/>
                    </w:numPr>
                  </w:pPr>
                  <w:r>
                    <w:t xml:space="preserve">payroll tax</w:t>
                  </w:r>
                </w:p>
                <w:p>
                  <w:pPr>
                    <w:pStyle w:val="ListParagraph"/>
                    <w:numPr>
                      <w:ilvl w:val="0"/>
                      <w:numId w:val="10"/>
                    </w:numPr>
                  </w:pPr>
                  <w:r>
                    <w:t xml:space="preserve">superannuation</w:t>
                  </w:r>
                </w:p>
                <w:p>
                  <w:pPr>
                    <w:pStyle w:val="ListParagraph"/>
                    <w:numPr>
                      <w:ilvl w:val="0"/>
                      <w:numId w:val="10"/>
                    </w:numPr>
                  </w:pPr>
                  <w:r>
                    <w:t xml:space="preserve">compensation</w:t>
                  </w:r>
                </w:p>
                <w:p>
                  <w:pPr>
                    <w:pStyle w:val="ListParagraph"/>
                    <w:numPr>
                      <w:ilvl w:val="0"/>
                      <w:numId w:val="10"/>
                    </w:numPr>
                  </w:pPr>
                  <w:r>
                    <w:t xml:space="preserve">accrued leave</w:t>
                  </w:r>
                </w:p>
                <w:p>
                  <w:pPr>
                    <w:pStyle w:val="ListParagraph"/>
                    <w:numPr>
                      <w:ilvl w:val="0"/>
                      <w:numId w:val="10"/>
                    </w:numPr>
                  </w:pPr>
                  <w:r>
                    <w:t xml:space="preserve">training</w:t>
                  </w:r>
                </w:p>
                <w:p>
                  <w:r>
                    <w:rPr>
                      <w:b/>
                    </w:rPr>
                    <w:t xml:space="preserve">Repairs and maintenance: </w:t>
                  </w:r>
                </w:p>
                <w:p>
                  <w:pPr>
                    <w:pStyle w:val="ListParagraph"/>
                    <w:numPr>
                      <w:ilvl w:val="0"/>
                      <w:numId w:val="11"/>
                    </w:numPr>
                  </w:pPr>
                  <w:r>
                    <w:t xml:space="preserve">day-to-day maintenance, reflecting general wear and tear</w:t>
                  </w:r>
                </w:p>
                <w:p>
                  <w:pPr>
                    <w:pStyle w:val="ListParagraph"/>
                    <w:numPr>
                      <w:ilvl w:val="0"/>
                      <w:numId w:val="11"/>
                    </w:numPr>
                  </w:pPr>
                  <w:r>
                    <w:t xml:space="preserve">cyclical maintenance, which is maintenance performed as part of a planned maintenance program</w:t>
                  </w:r>
                </w:p>
                <w:p>
                  <w:pPr>
                    <w:pStyle w:val="ListParagraph"/>
                    <w:numPr>
                      <w:ilvl w:val="0"/>
                      <w:numId w:val="11"/>
                    </w:numPr>
                  </w:pPr>
                  <w:r>
                    <w:t xml:space="preserve">other maintenance, for example, repairs due to vandalism.</w:t>
                  </w:r>
                </w:p>
                <w:p>
                  <w:r>
                    <w:rPr>
                      <w:b/>
                    </w:rPr>
                    <w:t xml:space="preserve">Other non-salary expenses:</w:t>
                  </w:r>
                </w:p>
                <w:p>
                  <w:pPr>
                    <w:pStyle w:val="ListParagraph"/>
                    <w:numPr>
                      <w:ilvl w:val="0"/>
                      <w:numId w:val="12"/>
                    </w:numPr>
                  </w:pPr>
                  <w:r>
                    <w:t xml:space="preserve">Supplies and service expenses, including:</w:t>
                  </w:r>
                  <w:r>
                    <w:br/>
                  </w:r>
                  <w:r>
                    <w:t xml:space="preserve">        • stationery</w:t>
                  </w:r>
                  <w:r>
                    <w:br/>
                  </w:r>
                  <w:r>
                    <w:t xml:space="preserve">        • postage</w:t>
                  </w:r>
                  <w:r>
                    <w:br/>
                  </w:r>
                  <w:r>
                    <w:t xml:space="preserve">        • telephone</w:t>
                  </w:r>
                  <w:r>
                    <w:br/>
                  </w:r>
                  <w:r>
                    <w:t xml:space="preserve">        • vehicle</w:t>
                  </w:r>
                  <w:r>
                    <w:br/>
                  </w:r>
                  <w:r>
                    <w:t xml:space="preserve">        • office equipment</w:t>
                  </w:r>
                  <w:r>
                    <w:br/>
                  </w:r>
                  <w:r>
                    <w:t xml:space="preserve">        • information technology</w:t>
                  </w:r>
                  <w:r>
                    <w:br/>
                  </w:r>
                  <w:r>
                    <w:t xml:space="preserve">        • auditing and accounting</w:t>
                  </w:r>
                  <w:r>
                    <w:br/>
                  </w:r>
                  <w:r>
                    <w:t xml:space="preserve">        • insurance;</w:t>
                  </w:r>
                </w:p>
                <w:p>
                  <w:pPr>
                    <w:pStyle w:val="ListParagraph"/>
                    <w:numPr>
                      <w:ilvl w:val="0"/>
                      <w:numId w:val="12"/>
                    </w:numPr>
                  </w:pPr>
                  <w:r>
                    <w:t xml:space="preserve">Office rent;</w:t>
                  </w:r>
                </w:p>
                <w:p>
                  <w:pPr>
                    <w:pStyle w:val="ListParagraph"/>
                    <w:numPr>
                      <w:ilvl w:val="0"/>
                      <w:numId w:val="12"/>
                    </w:numPr>
                  </w:pPr>
                  <w:r>
                    <w:t xml:space="preserve">General accounting and personnel function costs (for example, training costs or levies paid to community housing training authority or peak body);</w:t>
                  </w:r>
                </w:p>
                <w:p>
                  <w:pPr>
                    <w:pStyle w:val="ListParagraph"/>
                    <w:numPr>
                      <w:ilvl w:val="0"/>
                      <w:numId w:val="12"/>
                    </w:numPr>
                  </w:pPr>
                  <w:r>
                    <w:t xml:space="preserve">Grants and subsidies (excluding rental subsidies);</w:t>
                  </w:r>
                </w:p>
                <w:p>
                  <w:pPr>
                    <w:pStyle w:val="ListParagraph"/>
                    <w:numPr>
                      <w:ilvl w:val="0"/>
                      <w:numId w:val="12"/>
                    </w:numPr>
                  </w:pPr>
                  <w:r>
                    <w:t xml:space="preserve">Contracted community housing management services;</w:t>
                  </w:r>
                </w:p>
                <w:p>
                  <w:pPr>
                    <w:pStyle w:val="ListParagraph"/>
                    <w:numPr>
                      <w:ilvl w:val="0"/>
                      <w:numId w:val="12"/>
                    </w:numPr>
                  </w:pPr>
                  <w:r>
                    <w:t xml:space="preserve">Property-related expenses:</w:t>
                  </w:r>
                  <w:r>
                    <w:br/>
                  </w:r>
                  <w:r>
                    <w:t xml:space="preserve">        • Strata-title or body corporate charges where the provider is responsible for payment;</w:t>
                  </w:r>
                  <w:r>
                    <w:br/>
                  </w:r>
                  <w:r>
                    <w:t xml:space="preserve">        • Rates (for example, water or council/shire) where the provider is responsible for payment;</w:t>
                  </w:r>
                  <w:r>
                    <w:br/>
                  </w:r>
                  <w:r>
                    <w:t xml:space="preserve">        • 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12"/>
                    </w:numPr>
                  </w:pPr>
                  <w:r>
                    <w:t xml:space="preserve">Market rent paid (such as from head leasing)</w:t>
                  </w:r>
                </w:p>
                <w:p>
                  <w:pPr>
                    <w:pStyle w:val="ListParagraph"/>
                    <w:numPr>
                      <w:ilvl w:val="0"/>
                      <w:numId w:val="12"/>
                    </w:numPr>
                  </w:pPr>
                  <w:r>
                    <w:t xml:space="preserve">Borrowing costs (such as interest on loans)</w:t>
                  </w:r>
                </w:p>
                <w:p>
                  <w:pPr>
                    <w:pStyle w:val="ListParagraph"/>
                    <w:numPr>
                      <w:ilvl w:val="0"/>
                      <w:numId w:val="12"/>
                    </w:numPr>
                  </w:pPr>
                  <w:r>
                    <w:t xml:space="preserve">Depreciation and amortisation</w:t>
                  </w:r>
                </w:p>
                <w:p>
                  <w:pPr>
                    <w:pStyle w:val="ListParagraph"/>
                    <w:numPr>
                      <w:ilvl w:val="0"/>
                      <w:numId w:val="12"/>
                    </w:numPr>
                  </w:pPr>
                  <w:r>
                    <w:t xml:space="preserve">Loss on disposal of assets</w:t>
                  </w:r>
                </w:p>
                <w:p>
                  <w:pPr>
                    <w:pStyle w:val="ListParagraph"/>
                    <w:numPr>
                      <w:ilvl w:val="0"/>
                      <w:numId w:val="12"/>
                    </w:numPr>
                  </w:pPr>
                  <w:r>
                    <w:t xml:space="preserve">Loss on revaluation of assets</w:t>
                  </w:r>
                </w:p>
                <w:p>
                  <w:pPr>
                    <w:pStyle w:val="ListParagraph"/>
                    <w:numPr>
                      <w:ilvl w:val="0"/>
                      <w:numId w:val="12"/>
                    </w:numPr>
                  </w:pPr>
                  <w:r>
                    <w:t xml:space="preserve">Impairment expenses</w:t>
                  </w:r>
                </w:p>
                <w:p>
                  <w:pPr>
                    <w:pStyle w:val="ListParagraph"/>
                    <w:numPr>
                      <w:ilvl w:val="0"/>
                      <w:numId w:val="12"/>
                    </w:numPr>
                  </w:pPr>
                  <w:r>
                    <w:t xml:space="preserve">Assets and services provided free of charge</w:t>
                  </w:r>
                </w:p>
                <w:p>
                  <w:pPr>
                    <w:pStyle w:val="ListParagraph"/>
                    <w:numPr>
                      <w:ilvl w:val="0"/>
                      <w:numId w:val="12"/>
                    </w:numPr>
                  </w:pPr>
                  <w:r>
                    <w:t xml:space="preserve">Borrowing costs (such as interest on loans)</w:t>
                  </w:r>
                </w:p>
                <w:p>
                  <w:r>
                    <w:rPr>
                      <w:b/>
                    </w:rPr>
                    <w:t xml:space="preserve">Excludes: </w:t>
                  </w:r>
                </w:p>
                <w:p>
                  <w:r>
                    <w:rPr>
                      <w:b/>
                    </w:rPr>
                    <w:t xml:space="preserve">Capital costs, for example:</w:t>
                  </w:r>
                </w:p>
                <w:p>
                  <w:pPr>
                    <w:pStyle w:val="ListParagraph"/>
                    <w:numPr>
                      <w:ilvl w:val="0"/>
                      <w:numId w:val="13"/>
                    </w:numPr>
                  </w:pPr>
                  <w:r>
                    <w:t xml:space="preserve">the purchase of housing stock; and</w:t>
                  </w:r>
                </w:p>
                <w:p>
                  <w:pPr>
                    <w:pStyle w:val="ListParagraph"/>
                    <w:numPr>
                      <w:ilvl w:val="0"/>
                      <w:numId w:val="13"/>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be23dbfcd13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1cbcfe470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23dbfcd134bf7" /><Relationship Type="http://schemas.openxmlformats.org/officeDocument/2006/relationships/header" Target="/word/header1.xml" Id="R10e1579e722c40af" /><Relationship Type="http://schemas.openxmlformats.org/officeDocument/2006/relationships/settings" Target="/word/settings.xml" Id="R99b16d8cc1ad40a2" /><Relationship Type="http://schemas.openxmlformats.org/officeDocument/2006/relationships/styles" Target="/word/styles.xml" Id="Rde82e05791874999" /><Relationship Type="http://schemas.openxmlformats.org/officeDocument/2006/relationships/numbering" Target="/word/numbering.xml" Id="Re37e173dbf934764" /><Relationship Type="http://schemas.openxmlformats.org/officeDocument/2006/relationships/hyperlink" Target="https://meteor-uat.aihw.gov.au/content/695681" TargetMode="External" Id="R8be4c14acdfa4099" /><Relationship Type="http://schemas.openxmlformats.org/officeDocument/2006/relationships/hyperlink" Target="https://meteor-uat.aihw.gov.au/RegistrationAuthority/13" TargetMode="External" Id="R0c65f1e1604b4607" /><Relationship Type="http://schemas.openxmlformats.org/officeDocument/2006/relationships/hyperlink" Target="https://meteor-uat.aihw.gov.au/content/662863" TargetMode="External" Id="Ra2e415b828cb4acc" /><Relationship Type="http://schemas.openxmlformats.org/officeDocument/2006/relationships/hyperlink" Target="https://meteor-uat.aihw.gov.au/content/268977" TargetMode="External" Id="R4df9ff6e38274ecc" /><Relationship Type="http://schemas.openxmlformats.org/officeDocument/2006/relationships/hyperlink" Target="https://meteor-uat.aihw.gov.au/content/269022" TargetMode="External" Id="R59fb4dc72c73473d" /><Relationship Type="http://schemas.openxmlformats.org/officeDocument/2006/relationships/hyperlink" Target="https://meteor-uat.aihw.gov.au/content/327408" TargetMode="External" Id="R1d47c590ae8e4b44" /><Relationship Type="http://schemas.openxmlformats.org/officeDocument/2006/relationships/hyperlink" Target="https://meteor-uat.aihw.gov.au/content/327410" TargetMode="External" Id="R595d444730904444" /><Relationship Type="http://schemas.openxmlformats.org/officeDocument/2006/relationships/hyperlink" Target="https://meteor-uat.aihw.gov.au/content/327412" TargetMode="External" Id="R41198d0527d64825" /><Relationship Type="http://schemas.openxmlformats.org/officeDocument/2006/relationships/hyperlink" Target="https://meteor-uat.aihw.gov.au/content/386254" TargetMode="External" Id="R0509b51de8db40d3" /><Relationship Type="http://schemas.openxmlformats.org/officeDocument/2006/relationships/hyperlink" Target="https://meteor-uat.aihw.gov.au/content/327306" TargetMode="External" Id="R1ca304d08dd94669" /><Relationship Type="http://schemas.openxmlformats.org/officeDocument/2006/relationships/hyperlink" Target="https://meteor-uat.aihw.gov.au/content/465183" TargetMode="External" Id="Raf7f7cea27a44c49" /><Relationship Type="http://schemas.openxmlformats.org/officeDocument/2006/relationships/hyperlink" Target="https://meteor-uat.aihw.gov.au/content/497114" TargetMode="External" Id="R7f721db327554076" /><Relationship Type="http://schemas.openxmlformats.org/officeDocument/2006/relationships/hyperlink" Target="https://meteor-uat.aihw.gov.au/content/327196" TargetMode="External" Id="Ra3bb98ba001a450e" /><Relationship Type="http://schemas.openxmlformats.org/officeDocument/2006/relationships/hyperlink" Target="https://meteor-uat.aihw.gov.au/content/497112" TargetMode="External" Id="R2a74f3cf9d414a55" /><Relationship Type="http://schemas.openxmlformats.org/officeDocument/2006/relationships/hyperlink" Target="https://meteor-uat.aihw.gov.au/content/467399" TargetMode="External" Id="R7a56bf8f3d6d40d5" /><Relationship Type="http://schemas.openxmlformats.org/officeDocument/2006/relationships/hyperlink" Target="https://meteor-uat.aihw.gov.au/content/246013" TargetMode="External" Id="R86eceeff04724f4a" /><Relationship Type="http://schemas.openxmlformats.org/officeDocument/2006/relationships/hyperlink" Target="https://meteor-uat.aihw.gov.au/content/687195" TargetMode="External" Id="R4df4a8a693db410b" /><Relationship Type="http://schemas.openxmlformats.org/officeDocument/2006/relationships/hyperlink" Target="https://meteor-uat.aihw.gov.au/content/596369" TargetMode="External" Id="Rea8a18b5f1474f40" /><Relationship Type="http://schemas.openxmlformats.org/officeDocument/2006/relationships/hyperlink" Target="https://meteor-uat.aihw.gov.au/RegistrationAuthority/13" TargetMode="External" Id="R5c4be6ebc2fe4d94" /><Relationship Type="http://schemas.openxmlformats.org/officeDocument/2006/relationships/hyperlink" Target="https://meteor-uat.aihw.gov.au/content/594217" TargetMode="External" Id="R46c52cdb1aa344ac" /><Relationship Type="http://schemas.openxmlformats.org/officeDocument/2006/relationships/hyperlink" Target="https://meteor-uat.aihw.gov.au/content/429894" TargetMode="External" Id="R7a7d510c9c2242b1" /><Relationship Type="http://schemas.openxmlformats.org/officeDocument/2006/relationships/hyperlink" Target="https://meteor-uat.aihw.gov.au/content/430445" TargetMode="External" Id="R1a0ee654daaa4801" /><Relationship Type="http://schemas.openxmlformats.org/officeDocument/2006/relationships/hyperlink" Target="https://meteor-uat.aihw.gov.au/content/430469" TargetMode="External" Id="Rb9f7d4ff36294b69" /><Relationship Type="http://schemas.openxmlformats.org/officeDocument/2006/relationships/hyperlink" Target="https://meteor-uat.aihw.gov.au/content/429889" TargetMode="External" Id="Rd301556d63074877" /><Relationship Type="http://schemas.openxmlformats.org/officeDocument/2006/relationships/hyperlink" Target="https://meteor-uat.aihw.gov.au/content/611726" TargetMode="External" Id="R2a8544684edd4b52" /><Relationship Type="http://schemas.openxmlformats.org/officeDocument/2006/relationships/hyperlink" Target="https://meteor-uat.aihw.gov.au/content/711262" TargetMode="External" Id="Rb0a900a6a59d41fb" /><Relationship Type="http://schemas.openxmlformats.org/officeDocument/2006/relationships/hyperlink" Target="https://meteor-uat.aihw.gov.au/content/713816" TargetMode="External" Id="R0328a8eecd7f44ea" /><Relationship Type="http://schemas.openxmlformats.org/officeDocument/2006/relationships/hyperlink" Target="https://meteor-uat.aihw.gov.au/content/608497" TargetMode="External" Id="R139a23c5d3ea47a7" /><Relationship Type="http://schemas.openxmlformats.org/officeDocument/2006/relationships/hyperlink" Target="https://meteor-uat.aihw.gov.au/content/663045" TargetMode="External" Id="R3ac89907770649ca" /><Relationship Type="http://schemas.openxmlformats.org/officeDocument/2006/relationships/hyperlink" Target="https://meteor-uat.aihw.gov.au/content/663054" TargetMode="External" Id="Rbb9065192722434f" /><Relationship Type="http://schemas.openxmlformats.org/officeDocument/2006/relationships/hyperlink" Target="https://meteor-uat.aihw.gov.au/content/662982" TargetMode="External" Id="Rc00eff126e6d4b23" /><Relationship Type="http://schemas.openxmlformats.org/officeDocument/2006/relationships/hyperlink" Target="https://meteor-uat.aihw.gov.au/content/663022" TargetMode="External" Id="R9f4037b5731443f3" /><Relationship Type="http://schemas.openxmlformats.org/officeDocument/2006/relationships/hyperlink" Target="https://meteor-uat.aihw.gov.au/content/287007" TargetMode="External" Id="R4cf797c108bc4138" /><Relationship Type="http://schemas.openxmlformats.org/officeDocument/2006/relationships/hyperlink" Target="https://meteor-uat.aihw.gov.au/content/713785" TargetMode="External" Id="R63dc050deaf94af2" /><Relationship Type="http://schemas.openxmlformats.org/officeDocument/2006/relationships/hyperlink" Target="https://meteor-uat.aihw.gov.au/content/287316" TargetMode="External" Id="R1b462af81fe24221" /><Relationship Type="http://schemas.openxmlformats.org/officeDocument/2006/relationships/hyperlink" Target="https://meteor-uat.aihw.gov.au/content/461595" TargetMode="External" Id="R4cfe41f749be4169" /><Relationship Type="http://schemas.openxmlformats.org/officeDocument/2006/relationships/hyperlink" Target="https://meteor-uat.aihw.gov.au/content/662949" TargetMode="External" Id="Ra21a995cb4c24687" /><Relationship Type="http://schemas.openxmlformats.org/officeDocument/2006/relationships/hyperlink" Target="https://meteor-uat.aihw.gov.au/content/388518" TargetMode="External" Id="R26b8f2bc82204a8e" /><Relationship Type="http://schemas.openxmlformats.org/officeDocument/2006/relationships/hyperlink" Target="https://meteor-uat.aihw.gov.au/content/461534" TargetMode="External" Id="R94eeb42e41ed45bc" /><Relationship Type="http://schemas.openxmlformats.org/officeDocument/2006/relationships/hyperlink" Target="https://meteor-uat.aihw.gov.au/content/607886" TargetMode="External" Id="Rb7863cb9126947c1" /><Relationship Type="http://schemas.openxmlformats.org/officeDocument/2006/relationships/hyperlink" Target="https://meteor-uat.aihw.gov.au/content/464813" TargetMode="External" Id="Rb729b76b94424c7e" /><Relationship Type="http://schemas.openxmlformats.org/officeDocument/2006/relationships/hyperlink" Target="https://meteor-uat.aihw.gov.au/content/464818" TargetMode="External" Id="R40237b9cf72746b6" /><Relationship Type="http://schemas.openxmlformats.org/officeDocument/2006/relationships/hyperlink" Target="https://meteor-uat.aihw.gov.au/content/479695" TargetMode="External" Id="R1dfc3bf5af4b4668" /><Relationship Type="http://schemas.openxmlformats.org/officeDocument/2006/relationships/hyperlink" Target="https://meteor-uat.aihw.gov.au/content/479675" TargetMode="External" Id="R05e21c157e3f4248" /><Relationship Type="http://schemas.openxmlformats.org/officeDocument/2006/relationships/hyperlink" Target="https://meteor-uat.aihw.gov.au/content/414987" TargetMode="External" Id="R10324f67a24145e6" /><Relationship Type="http://schemas.openxmlformats.org/officeDocument/2006/relationships/hyperlink" Target="https://meteor-uat.aihw.gov.au/content/608082" TargetMode="External" Id="R1c16485ac9cc4456" /><Relationship Type="http://schemas.openxmlformats.org/officeDocument/2006/relationships/hyperlink" Target="https://meteor-uat.aihw.gov.au/content/608435" TargetMode="External" Id="R65f4caf38fc246e7" /><Relationship Type="http://schemas.openxmlformats.org/officeDocument/2006/relationships/hyperlink" Target="https://meteor-uat.aihw.gov.au/content/608442" TargetMode="External" Id="R4a3bf2d910174262" /><Relationship Type="http://schemas.openxmlformats.org/officeDocument/2006/relationships/hyperlink" Target="https://meteor-uat.aihw.gov.au/content/464844" TargetMode="External" Id="Reed7f24cb9c14e28" /></Relationships>
</file>

<file path=word/_rels/header1.xml.rels>&#65279;<?xml version="1.0" encoding="utf-8"?><Relationships xmlns="http://schemas.openxmlformats.org/package/2006/relationships"><Relationship Type="http://schemas.openxmlformats.org/officeDocument/2006/relationships/image" Target="/media/image.png" Id="R7ef1cbcfe470429f" /></Relationships>
</file>