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469194c2474cf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2019; Quality Statement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2019;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a34e4194fd4790">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Causes of Death collections are conducted under the Census and Statistics Act 1905. For information on the institutional environment of the Australian Bureau of Statistics (ABS), including the legislative obligations of the ABS, financing and governance arrangements, and mechanisms for scrutiny of ABS operations, see </w:t>
            </w:r>
            <w:hyperlink w:history="true" r:id="R2443b05394874072">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perinatal deaths data are published on an annual basis. 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see the feature article titled</w:t>
            </w:r>
            <w:hyperlink w:history="true" r:id="R03fd75a19cc84659">
              <w:r>
                <w:rPr>
                  <w:rStyle w:val="Hyperlink"/>
                  <w:i/>
                </w:rPr>
                <w:t xml:space="preserve">Recasting 20 years of ERP</w:t>
              </w:r>
            </w:hyperlink>
            <w:r>
              <w:rPr>
                <w:rStyle w:val="row-content-rich-text"/>
              </w:rPr>
              <w:t xml:space="preserve">in the December quarter 2012 issue of </w:t>
            </w:r>
            <w:r>
              <w:rPr>
                <w:rStyle w:val="row-content-rich-text"/>
                <w:i/>
              </w:rPr>
              <w:t xml:space="preserve">Australian Demographic Statistics </w:t>
            </w:r>
            <w:r>
              <w:rPr>
                <w:rStyle w:val="row-content-rich-text"/>
              </w:rPr>
              <w:t xml:space="preserve">(cat. no. 3101.0).</w:t>
            </w:r>
          </w:p>
          <w:p>
            <w:pPr/>
            <w:r>
              <w:rPr>
                <w:rStyle w:val="row-content-rich-text"/>
              </w:rPr>
              <w:t xml:space="preserve">For further information on ABS ERP, see the relevant </w:t>
            </w:r>
            <w:hyperlink w:history="true" r:id="R3b28fc5094fc49cc">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Perinatals deaths are currently available in 3303.0. Births data are available in a variety of formats on the ABS website under the 3301.0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all births, per 1,000 live births or per 100,000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and Perinatal Deaths collections include demographic items, as well as causes of death information, which is coded according to the </w:t>
            </w:r>
            <w:r>
              <w:rPr>
                <w:rStyle w:val="row-content-rich-text"/>
                <w:i/>
              </w:rPr>
              <w:t xml:space="preserve">International Statistical Classification of Diseases and Related Health Problems </w:t>
            </w:r>
            <w:r>
              <w:rPr>
                <w:rStyle w:val="row-content-rich-text"/>
              </w:rPr>
              <w:t xml:space="preserve">(ICD).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Up until 1 July 2016, births and deaths of Norfolk Island residents were counted in 'External Territories' and therefore not included in Australian birth counts. However, from 2016 births of Norfolk Island residents are counted in 'Other Territories' and therefore will be included in Australian birth statistics.</w:t>
            </w:r>
          </w:p>
          <w:p>
            <w:pPr/>
            <w:r>
              <w:rPr>
                <w:rStyle w:val="row-content-rich-text"/>
              </w:rPr>
              <w:t xml:space="preserve">For further information on the ABS Causes of Death, Perinatal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and perinatal deaths is obtained from a complete enumeration of deaths registered during a specified period and are not subject to sampling error. However, causes of death and perinatal deaths data sources are subject to non-sampling error which can arise from inaccuracies in collecting, recording and processing the data.</w:t>
            </w:r>
          </w:p>
          <w:p>
            <w:pPr>
              <w:spacing w:after="160"/>
            </w:pPr>
            <w:r>
              <w:rPr>
                <w:rStyle w:val="row-content-rich-text"/>
              </w:rPr>
              <w:t xml:space="preserve">In June 2014, the New South Wales Registrar of Births, Deaths and Marriages (NSW Registry) transitioned to a new data processing system which resulted in temporary processing delays. These delays caused a number of birth records received by the NSW Registry in 2014 to be processed in 2015. As a result, the total number of births registered in New South Wales in 2014 (91,074) was 9,388 (9.3%) less than the number registered in 2013 (100,462).</w:t>
            </w:r>
          </w:p>
          <w:p>
            <w:pPr>
              <w:spacing w:after="160"/>
            </w:pPr>
            <w:r>
              <w:rPr>
                <w:rStyle w:val="row-content-rich-text"/>
              </w:rPr>
              <w:t xml:space="preserve">For a more complete understanding of the births occurring in NSW for 2014 users should consult Table 13 in </w:t>
            </w:r>
            <w:r>
              <w:rPr>
                <w:rStyle w:val="row-content-rich-text"/>
                <w:i/>
              </w:rPr>
              <w:t xml:space="preserve">Births Australia 2014 </w:t>
            </w:r>
            <w:r>
              <w:rPr>
                <w:rStyle w:val="row-content-rich-text"/>
              </w:rPr>
              <w:t xml:space="preserve">(3301.0) which provides more up to date information about births in 2014 and 2015.</w:t>
            </w:r>
          </w:p>
          <w:p>
            <w:pPr>
              <w:spacing w:after="160"/>
            </w:pPr>
            <w:r>
              <w:rPr>
                <w:rStyle w:val="row-content-rich-text"/>
              </w:rPr>
              <w:t xml:space="preserve">Analysis by the ABS showed that the distribution of important characteristics such as sex of child, age of mother, usual residence of mother and Indigenous status in 2014 data is similar to that in 2011-2013 data.</w:t>
            </w:r>
          </w:p>
          <w:p>
            <w:pPr>
              <w:spacing w:after="160"/>
            </w:pPr>
            <w:r>
              <w:rPr>
                <w:rStyle w:val="row-content-rich-text"/>
              </w:rPr>
              <w:t xml:space="preserve">In 2016 the NSW Registry changed the 'proof of identity' requirements for parents registering a new birth. This led to delays in registration of births for 2016 and 2017. The ABS has been working with the NSW Registry to improve the birth registration lag, The recent launch of online birth registration in 2018 by the NSW Registry appears to be improving birth registration timeframes for both Aboriginal and Torres Strait Islander and non-Indigenous Australians.</w:t>
            </w:r>
          </w:p>
          <w:p>
            <w:pPr>
              <w:spacing w:after="160"/>
            </w:pPr>
            <w:r>
              <w:rPr>
                <w:rStyle w:val="row-content-rich-text"/>
              </w:rPr>
              <w:t xml:space="preserve">Previously, concerns had also been raised with the accuracy of the NSW births counts prior to 2011. In response to these concerns the ABS, in conjunction with the NSW Registry of Births, Deaths and Marriages, has undertaken an investigation which has led to the identification of an ABS systems processing error. The ABS acknowledges that this has resulted in previous undercounts of births in NSW. Data for NSW and Australia have been revised to include previously unprocessed NSW birth registrations for the period 2005 to 2011.</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 Some under 5 deaths were affected by this issue.</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Causes of Death, Australia, 2010 publication (cat. no. 3303.0) and 2010 data reported for COAG, as this adjustment was not applied in the publication. For further details see Technical Note: Registration of outstanding deaths, Queensland 2010, from the Deaths, Australia, 2010 publication (cat. no, 3302.0) and Explanatory Note 103 in the Causes of Death, Australia, 2010 publication (cat. no. 3303.0).</w:t>
            </w:r>
          </w:p>
          <w:p>
            <w:pPr>
              <w:spacing w:after="160"/>
            </w:pPr>
            <w:r>
              <w:rPr>
                <w:rStyle w:val="row-content-rich-text"/>
              </w:rP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w:t>
            </w:r>
            <w:r>
              <w:rPr>
                <w:rStyle w:val="row-content-rich-text"/>
                <w:i/>
              </w:rPr>
              <w:t xml:space="preserve">Deaths, Australia</w:t>
            </w:r>
            <w:r>
              <w:rPr>
                <w:rStyle w:val="row-content-rich-text"/>
              </w:rPr>
              <w:t xml:space="preserve"> publication, or in the 2011 COAG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(cat. no. 3302.0) publication on 24 May 2012, and are included in this round of COAG reporting.</w:t>
            </w:r>
          </w:p>
          <w:p>
            <w:pPr>
              <w:spacing w:after="160"/>
            </w:pPr>
            <w:r>
              <w:rPr>
                <w:rStyle w:val="row-content-rich-text"/>
              </w:rPr>
              <w:t xml:space="preserve">The ABS Death Registrations collection identifies a death as Aboriginal and Torres Strait Islander where the deceased is recorded as Aboriginal, Torres Strait islander, or both on the Death Registration Form (DRF). The Indigenous status is also derived from the Medical Certificate of Cause of Death (MCCD) for South Australia, Western Australia, Tasmania, the Northern Territory and the Australian Capital Territory. For 2015 data, the Queensland Registry of Births, Deaths and Marriages also used MCCD information for the first time to derive Indigenous status. This resulted in a noticeable decrease in the number of deaths for which the Indigenous status was 'not stated' and an increase in the number of deaths identified as Aboriginal and Torres Strait Islander in Queensland.</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w:t>
            </w:r>
          </w:p>
          <w:p>
            <w:pPr>
              <w:spacing w:after="160"/>
            </w:pPr>
            <w:r>
              <w:rPr>
                <w:rStyle w:val="row-content-rich-text"/>
              </w:rPr>
              <w:t xml:space="preserve">All coroner certified deaths registered after 1 January 2006 are now subject to a revisions process. In this round of Council of Australian Governments (COAG) reporting, and 2014 data is final, 2015 data is revised and 2016 and 2017 data is preliminary. Data for 2015, 2016 and 2017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w:t>
            </w:r>
            <w:hyperlink w:history="true" r:id="R0b55f8a8e1fb4d7a">
              <w:r>
                <w:rPr>
                  <w:rStyle w:val="Hyperlink"/>
                </w:rPr>
                <w:t xml:space="preserve">Technical Note: Causes of Death Revisions 2009 </w:t>
              </w:r>
            </w:hyperlink>
            <w:r>
              <w:rPr>
                <w:rStyle w:val="row-content-rich-text"/>
              </w:rPr>
              <w:t xml:space="preserve">and </w:t>
            </w:r>
            <w:hyperlink w:history="true" r:id="R01464ab8329d4640">
              <w:r>
                <w:rPr>
                  <w:rStyle w:val="Hyperlink"/>
                </w:rPr>
                <w:t xml:space="preserve">2010 </w:t>
              </w:r>
            </w:hyperlink>
            <w:r>
              <w:rPr>
                <w:rStyle w:val="row-content-rich-text"/>
              </w:rPr>
              <w:t xml:space="preserve">and in </w:t>
            </w:r>
            <w:hyperlink w:history="true" r:id="Re7d0566f72c74c95">
              <w:r>
                <w:rPr>
                  <w:rStyle w:val="Hyperlink"/>
                </w:rPr>
                <w:t xml:space="preserve">Causes of Death, Australia, 2011 (cat.no. 3303.0</w:t>
              </w:r>
            </w:hyperlink>
            <w:hyperlink w:history="true" r:id="R2ff66cc7cf6341a4">
              <w:r>
                <w:rPr>
                  <w:rStyle w:val="Hyperlink"/>
                </w:rPr>
                <w:t xml:space="preserve">)</w:t>
              </w:r>
            </w:hyperlink>
            <w:r>
              <w:rPr>
                <w:rStyle w:val="row-content-rich-text"/>
              </w:rPr>
              <w:t xml:space="preserve">.</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 </w:t>
            </w:r>
            <w:r>
              <w:rPr>
                <w:rStyle w:val="row-content-rich-text"/>
              </w:rPr>
              <w:t xml:space="preserve">(cat. no. 3114.0) and </w:t>
            </w:r>
            <w:r>
              <w:rPr>
                <w:rStyle w:val="row-content-rich-text"/>
                <w:i/>
              </w:rPr>
              <w:t xml:space="preserve">Australian Demographic Statistics </w:t>
            </w:r>
            <w:r>
              <w:rPr>
                <w:rStyle w:val="row-content-rich-text"/>
              </w:rPr>
              <w:t xml:space="preserve">(cat.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 Total population estimates for 2013, used in the calculation of non-Indigenous comparison rates, are preliminary estimates.</w:t>
            </w:r>
          </w:p>
          <w:p>
            <w:pPr>
              <w:spacing w:after="160"/>
            </w:pPr>
            <w:r>
              <w:rPr>
                <w:rStyle w:val="row-content-rich-text"/>
              </w:rPr>
              <w:t xml:space="preserve">Non-Indigenous data from the Causes of Death collection and Perinatal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for some causes. Age-specific death rates based on a very low death count have been deemed unpublishable. Some cells may also not be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1999.  Demography Working Paper 1998/2 - Quarterly Birth and Death Estimates, 1998. ABS Cat. no. 3114.0. Canberra: ABS.</w:t>
            </w:r>
          </w:p>
          <w:p>
            <w:pPr>
              <w:spacing w:after="160"/>
            </w:pPr>
            <w:r>
              <w:rPr>
                <w:rStyle w:val="row-content-rich-text"/>
              </w:rPr>
              <w:t xml:space="preserve">Australian Demographic Statistics. ABS Cat. no. 3101.0. Canberra: ABS.</w:t>
            </w:r>
          </w:p>
          <w:p>
            <w:pPr>
              <w:spacing w:after="160"/>
            </w:pPr>
            <w:r>
              <w:rPr>
                <w:rStyle w:val="row-content-rich-text"/>
              </w:rPr>
              <w:t xml:space="preserve">Australian Demographic Statistics, Dec 2012. ABS Cat. no. 3101.0. Canberra: ABS.</w:t>
            </w:r>
          </w:p>
          <w:p>
            <w:pPr>
              <w:spacing w:after="160"/>
            </w:pPr>
            <w:r>
              <w:rPr>
                <w:rStyle w:val="row-content-rich-text"/>
              </w:rPr>
              <w:t xml:space="preserve">Births, Australia. ABS Cat. no. 3301.0. Canberra: ABS.</w:t>
            </w:r>
          </w:p>
          <w:p>
            <w:pPr>
              <w:spacing w:after="160"/>
            </w:pPr>
            <w:r>
              <w:rPr>
                <w:rStyle w:val="row-content-rich-text"/>
              </w:rPr>
              <w:t xml:space="preserve">Births, Australia, 2014. ABS Cat. no. 3301.0. Canberra: ABS.</w:t>
            </w:r>
          </w:p>
          <w:p>
            <w:pPr>
              <w:spacing w:after="160"/>
            </w:pPr>
            <w:r>
              <w:rPr>
                <w:rStyle w:val="row-content-rich-text"/>
              </w:rPr>
              <w:t xml:space="preserve">Causes of Death, Australia. ABS Cat. no. 3303.0. Canberra: ABS.</w:t>
            </w:r>
          </w:p>
          <w:p>
            <w:pPr>
              <w:spacing w:after="160"/>
            </w:pPr>
            <w:r>
              <w:rPr>
                <w:rStyle w:val="row-content-rich-text"/>
              </w:rPr>
              <w:t xml:space="preserve">Causes of Death, Australia, 2010. ABS Cat. no. 3303.0. Canberra: ABS.</w:t>
            </w:r>
          </w:p>
          <w:p>
            <w:pPr>
              <w:spacing w:after="160"/>
            </w:pPr>
            <w:r>
              <w:rPr>
                <w:rStyle w:val="row-content-rich-text"/>
              </w:rPr>
              <w:t xml:space="preserve">Causes of Death, Australia, 2011. ABS Cat. no. 3303.0. Canberra: ABS.</w:t>
            </w:r>
          </w:p>
          <w:p>
            <w:pPr>
              <w:spacing w:after="160"/>
            </w:pPr>
            <w:r>
              <w:rPr>
                <w:rStyle w:val="row-content-rich-text"/>
              </w:rPr>
              <w:t xml:space="preserve">Deaths, Australia. ABS Cat. no. 3302.0. Canberra: ABS.</w:t>
            </w:r>
          </w:p>
          <w:p>
            <w:pPr>
              <w:spacing w:after="160"/>
            </w:pPr>
            <w:r>
              <w:rPr>
                <w:rStyle w:val="row-content-rich-text"/>
              </w:rPr>
              <w:t xml:space="preserve">Deaths, Australia, 2010. ABS Cat. no. 3302.0. Canberra: ABS.</w:t>
            </w:r>
          </w:p>
          <w:p>
            <w:pPr/>
            <w:r>
              <w:rPr>
                <w:rStyle w:val="row-content-rich-text"/>
              </w:rPr>
              <w:t xml:space="preserve">Population by Age and Sex, Australian States and Territories. ABS Cat. no. 3201.0.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bf1466a29043a0">
              <w:r>
                <w:rPr>
                  <w:rStyle w:val="Hyperlink"/>
                </w:rPr>
                <w:t xml:space="preserve">National Indigenous Reform Agreement: PI 06-Under five mortality rate by leading cause, 2018; Quality Statement </w:t>
              </w:r>
            </w:hyperlink>
          </w:p>
          <w:p>
            <w:pPr>
              <w:pStyle w:val="registration-status"/>
              <w:spacing w:before="0" w:after="0"/>
            </w:pPr>
            <w:hyperlink w:history="true" r:id="R84c5e251d1c240c1">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e09cec6066484536">
              <w:r>
                <w:rPr>
                  <w:rStyle w:val="Hyperlink"/>
                </w:rPr>
                <w:t xml:space="preserve">National Indigenous Reform Agreement: PI 06-Under five mortality rate by leading cause, 2020; Quality Statement </w:t>
              </w:r>
            </w:hyperlink>
          </w:p>
          <w:p>
            <w:pPr>
              <w:pStyle w:val="registration-status"/>
              <w:spacing w:before="0" w:after="0"/>
            </w:pPr>
            <w:hyperlink w:history="true" r:id="R18b19887017a42b2">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9c64fe1e896459f">
              <w:r>
                <w:rPr>
                  <w:rStyle w:val="Hyperlink"/>
                </w:rPr>
                <w:t xml:space="preserve">National Indigenous Reform Agreement: PI 06-Under five mortality rate by leading cause, 2019</w:t>
              </w:r>
            </w:hyperlink>
          </w:p>
          <w:p>
            <w:pPr>
              <w:pStyle w:val="registration-status"/>
              <w:spacing w:before="0" w:after="0"/>
            </w:pPr>
            <w:hyperlink w:history="true" r:id="R3de12143149d4eb3">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ff82208a11b14b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a0b86d728e4d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82208a11b14bc6" /><Relationship Type="http://schemas.openxmlformats.org/officeDocument/2006/relationships/header" Target="/word/header1.xml" Id="Ra6cfa1dc3da44fb5" /><Relationship Type="http://schemas.openxmlformats.org/officeDocument/2006/relationships/settings" Target="/word/settings.xml" Id="R665da50da1ff47f6" /><Relationship Type="http://schemas.openxmlformats.org/officeDocument/2006/relationships/styles" Target="/word/styles.xml" Id="Rdfaa82d9f1df4c25" /><Relationship Type="http://schemas.openxmlformats.org/officeDocument/2006/relationships/hyperlink" Target="https://meteor-uat.aihw.gov.au/RegistrationAuthority/9" TargetMode="External" Id="R79a34e4194fd4790" /><Relationship Type="http://schemas.openxmlformats.org/officeDocument/2006/relationships/hyperlink" Target="http://www.abs.gov.au/websitedbs/d3310114.nsf/4a256353001af3ed4b2562bb00121564/10ca14cb967e5b83ca2573ae00197b65!OpenDocument" TargetMode="External" Id="R2443b05394874072" /><Relationship Type="http://schemas.openxmlformats.org/officeDocument/2006/relationships/hyperlink" Target="http://www.abs.gov.au/AUSSTATS/abs@.nsf/Previousproducts/3101.0Feature Article2Dec 2012?opendocument&amp;tabname=Summary&amp;prodno=3101.0&amp;issue=Dec 2012&amp;num=&amp;view=" TargetMode="External" Id="R03fd75a19cc84659" /><Relationship Type="http://schemas.openxmlformats.org/officeDocument/2006/relationships/hyperlink" Target="http://www.abs.gov.au/AUSSTATS/abs@.nsf/Lookup/3101.0Explanatory Notes1Dec 2012?OpenDocument" TargetMode="External" Id="R3b28fc5094fc49cc" /><Relationship Type="http://schemas.openxmlformats.org/officeDocument/2006/relationships/hyperlink" Target="http://www.abs.gov.au/AUSSTATS/abs@.Nsf/7d12b0f6763c78caca257061001cc588/c87b6c57bfcf5e69ca2579c6000f7a27!OpenDocument" TargetMode="External" Id="R0b55f8a8e1fb4d7a" /><Relationship Type="http://schemas.openxmlformats.org/officeDocument/2006/relationships/hyperlink" Target="http://www.abs.gov.au/AUSSTATS/abs@.Nsf/39433889d406eeb9ca2570610019e9a5/b56a0a7f11aae61bca257b2e000d8091!OpenDocument" TargetMode="External" Id="R01464ab8329d4640" /><Relationship Type="http://schemas.openxmlformats.org/officeDocument/2006/relationships/hyperlink" Target="http://www.abs.gov.au/AUSSTATS/abs@.nsf/allprimarymainfeatures/3F8399A58BFB8F53CA257CA5000C9203?opendocument" TargetMode="External" Id="Re7d0566f72c74c95" /><Relationship Type="http://schemas.openxmlformats.org/officeDocument/2006/relationships/hyperlink" Target="http://www.abs.gov.au/AUSSTATS/abs@.nsf/allprimarymainfeatures/3F8399A58BFB8F53CA257CA5000C9203?opendocument" TargetMode="External" Id="R2ff66cc7cf6341a4" /><Relationship Type="http://schemas.openxmlformats.org/officeDocument/2006/relationships/hyperlink" Target="https://meteor-uat.aihw.gov.au/content/689652" TargetMode="External" Id="R13bf1466a29043a0" /><Relationship Type="http://schemas.openxmlformats.org/officeDocument/2006/relationships/hyperlink" Target="https://meteor-uat.aihw.gov.au/RegistrationAuthority/9" TargetMode="External" Id="R84c5e251d1c240c1" /><Relationship Type="http://schemas.openxmlformats.org/officeDocument/2006/relationships/hyperlink" Target="https://meteor-uat.aihw.gov.au/content/726256" TargetMode="External" Id="Re09cec6066484536" /><Relationship Type="http://schemas.openxmlformats.org/officeDocument/2006/relationships/hyperlink" Target="https://meteor-uat.aihw.gov.au/RegistrationAuthority/9" TargetMode="External" Id="R18b19887017a42b2" /><Relationship Type="http://schemas.openxmlformats.org/officeDocument/2006/relationships/hyperlink" Target="https://meteor-uat.aihw.gov.au/content/697300" TargetMode="External" Id="R19c64fe1e896459f" /><Relationship Type="http://schemas.openxmlformats.org/officeDocument/2006/relationships/hyperlink" Target="https://meteor-uat.aihw.gov.au/RegistrationAuthority/9" TargetMode="External" Id="R3de12143149d4eb3" /></Relationships>
</file>

<file path=word/_rels/header1.xml.rels>&#65279;<?xml version="1.0" encoding="utf-8"?><Relationships xmlns="http://schemas.openxmlformats.org/package/2006/relationships"><Relationship Type="http://schemas.openxmlformats.org/officeDocument/2006/relationships/image" Target="/media/image.png" Id="R14a0b86d728e4ddc" /></Relationships>
</file>